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562"/>
        <w:rPr>
          <w:color w:val="000000"/>
        </w:rPr>
      </w:pPr>
      <w:bookmarkStart w:id="0" w:name="_Toc20929"/>
      <w:bookmarkStart w:id="1" w:name="_Toc21773"/>
      <w:bookmarkStart w:id="2" w:name="_Toc436406736"/>
      <w:bookmarkStart w:id="3" w:name="_Toc22460"/>
      <w:bookmarkStart w:id="4" w:name="_Toc436649481"/>
      <w:bookmarkStart w:id="5" w:name="_Toc438107709"/>
      <w:bookmarkStart w:id="6" w:name="_Toc436655629"/>
      <w:bookmarkStart w:id="7" w:name="_Toc25305"/>
      <w:bookmarkStart w:id="8" w:name="_Toc17128"/>
    </w:p>
    <w:p>
      <w:pPr>
        <w:pStyle w:val="3"/>
        <w:ind w:firstLine="562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bookmarkStart w:id="9" w:name="_GoBack"/>
      <w:bookmarkEnd w:id="9"/>
      <w:r>
        <w:rPr>
          <w:rFonts w:hint="eastAsia" w:ascii="黑体" w:hAnsi="黑体" w:eastAsia="黑体" w:cs="黑体"/>
          <w:color w:val="000000"/>
          <w:sz w:val="44"/>
          <w:szCs w:val="44"/>
        </w:rPr>
        <w:t>完税证明开具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/>
    <w:p>
      <w:pPr>
        <w:ind w:firstLine="482"/>
        <w:rPr>
          <w:b/>
          <w:color w:val="000000"/>
        </w:rPr>
      </w:pPr>
      <w:r>
        <w:rPr>
          <w:b/>
          <w:color w:val="000000"/>
        </w:rPr>
        <w:t>【业务描述】</w:t>
      </w:r>
    </w:p>
    <w:p>
      <w:pPr>
        <w:ind w:firstLine="480"/>
        <w:rPr>
          <w:color w:val="000000"/>
        </w:rPr>
      </w:pPr>
      <w:r>
        <w:rPr>
          <w:color w:val="000000"/>
        </w:rPr>
        <w:t>纳税人、扣缴义务人、代征代售人通过财税库银横向联网电子缴税系统划缴税款到国库（经收处）后或收到从国库退还的税款后，</w:t>
      </w:r>
      <w:r>
        <w:rPr>
          <w:color w:val="000000"/>
          <w:lang w:val="zh-CN"/>
        </w:rPr>
        <w:t>当场或事后需要取得税收票证的，</w:t>
      </w:r>
      <w:r>
        <w:rPr>
          <w:color w:val="000000"/>
        </w:rPr>
        <w:t>税务机关按规定要求为其开具。</w:t>
      </w:r>
    </w:p>
    <w:p>
      <w:pPr>
        <w:pStyle w:val="7"/>
        <w:widowControl/>
        <w:ind w:firstLine="600"/>
      </w:pPr>
      <w:r>
        <w:t>国税、地税通用业务。</w:t>
      </w:r>
    </w:p>
    <w:p>
      <w:pPr>
        <w:pStyle w:val="7"/>
        <w:widowControl/>
        <w:ind w:firstLine="600"/>
      </w:pPr>
      <w:r>
        <w:t>县级业务。</w:t>
      </w:r>
    </w:p>
    <w:p>
      <w:pPr>
        <w:ind w:firstLine="482"/>
        <w:rPr>
          <w:b/>
          <w:color w:val="000000"/>
        </w:rPr>
      </w:pPr>
      <w:r>
        <w:rPr>
          <w:b/>
          <w:color w:val="000000"/>
        </w:rPr>
        <w:t>【政策依据】</w:t>
      </w:r>
    </w:p>
    <w:p>
      <w:pPr>
        <w:pStyle w:val="8"/>
        <w:spacing w:line="360" w:lineRule="auto"/>
        <w:ind w:firstLine="48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《税收票证管理办法》（国家税务总局令第28号）</w:t>
      </w:r>
    </w:p>
    <w:p>
      <w:pPr>
        <w:pStyle w:val="8"/>
        <w:spacing w:line="360" w:lineRule="auto"/>
        <w:ind w:firstLine="48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《国家税务总局〈税收票证管理办法〉若干问题的公告》（国家税务总局公告2013年第34号）</w:t>
      </w:r>
    </w:p>
    <w:p>
      <w:pPr>
        <w:pStyle w:val="8"/>
        <w:spacing w:line="360" w:lineRule="auto"/>
        <w:ind w:firstLine="48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《国家税务总局关于明确〈税收票证管理办法〉若干问题的通知》（税总函〔2013〕339号）</w:t>
      </w:r>
    </w:p>
    <w:p>
      <w:pPr>
        <w:ind w:firstLine="482"/>
        <w:rPr>
          <w:rFonts w:hint="eastAsia"/>
          <w:b/>
          <w:color w:val="000000"/>
        </w:rPr>
      </w:pPr>
      <w:r>
        <w:rPr>
          <w:b/>
          <w:color w:val="000000"/>
        </w:rPr>
        <w:t>【受理部门】</w:t>
      </w:r>
    </w:p>
    <w:p>
      <w:pPr>
        <w:ind w:firstLine="480"/>
        <w:rPr>
          <w:color w:val="000000"/>
        </w:rPr>
      </w:pPr>
      <w:r>
        <w:rPr>
          <w:color w:val="000000"/>
        </w:rPr>
        <w:t>所在地主管税务机关办税服务厅（场所），具体地址可在各地税务机关官网查询，或拨打12366纳税服务热线查询。</w:t>
      </w:r>
    </w:p>
    <w:p>
      <w:pPr>
        <w:ind w:firstLine="482"/>
        <w:rPr>
          <w:b/>
        </w:rPr>
      </w:pPr>
      <w:r>
        <w:rPr>
          <w:b/>
        </w:rPr>
        <w:t>【</w:t>
      </w:r>
      <w:r>
        <w:rPr>
          <w:b/>
          <w:bCs/>
        </w:rPr>
        <w:t>办理时限</w:t>
      </w:r>
      <w:r>
        <w:rPr>
          <w:b/>
        </w:rPr>
        <w:t>】</w:t>
      </w:r>
    </w:p>
    <w:p>
      <w:pPr>
        <w:spacing w:line="360" w:lineRule="auto"/>
        <w:ind w:firstLine="482"/>
        <w:rPr>
          <w:b/>
          <w:bCs/>
        </w:rPr>
      </w:pPr>
      <w:r>
        <w:rPr>
          <w:b/>
          <w:bCs/>
        </w:rPr>
        <w:t>税务机关办理时限</w:t>
      </w:r>
    </w:p>
    <w:p>
      <w:pPr>
        <w:spacing w:line="360" w:lineRule="auto"/>
        <w:ind w:firstLine="480"/>
      </w:pPr>
      <w:r>
        <w:t>报送资料齐全、符合法定形式、填写内容完整的，受理后即时办结。</w:t>
      </w:r>
    </w:p>
    <w:p>
      <w:pPr>
        <w:ind w:firstLine="482"/>
        <w:rPr>
          <w:b/>
          <w:color w:val="000000"/>
        </w:rPr>
      </w:pPr>
      <w:r>
        <w:rPr>
          <w:b/>
          <w:color w:val="000000"/>
        </w:rPr>
        <w:t>【报送资料】</w:t>
      </w:r>
    </w:p>
    <w:p>
      <w:pPr>
        <w:ind w:firstLine="480"/>
        <w:rPr>
          <w:color w:val="000000"/>
        </w:rPr>
      </w:pPr>
      <w:r>
        <w:rPr>
          <w:color w:val="000000"/>
        </w:rPr>
        <w:t>税务登记证副本（自然人提供本人身份证明）原件及复印件（事后开具提供）。</w:t>
      </w:r>
    </w:p>
    <w:p>
      <w:pPr>
        <w:ind w:firstLine="482"/>
        <w:rPr>
          <w:b/>
          <w:color w:val="000000"/>
        </w:rPr>
      </w:pPr>
      <w:r>
        <w:rPr>
          <w:b/>
          <w:color w:val="000000"/>
        </w:rPr>
        <w:t>【基本流程】</w:t>
      </w:r>
    </w:p>
    <w:p>
      <w:pPr>
        <w:spacing w:line="240" w:lineRule="auto"/>
        <w:ind w:firstLine="480"/>
        <w:jc w:val="center"/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4323080" cy="3143885"/>
            <wp:effectExtent l="0" t="0" r="1270" b="18415"/>
            <wp:docPr id="1" name="图片 1" descr="6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-1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3080" cy="3143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482"/>
        <w:rPr>
          <w:rFonts w:hint="eastAsia"/>
          <w:b/>
        </w:rPr>
      </w:pPr>
      <w:r>
        <w:rPr>
          <w:rFonts w:hint="eastAsia"/>
          <w:b/>
        </w:rPr>
        <w:t>【二维码】</w:t>
      </w:r>
    </w:p>
    <w:p>
      <w:pPr>
        <w:spacing w:line="240" w:lineRule="auto"/>
        <w:ind w:firstLine="480"/>
        <w:jc w:val="center"/>
        <w:rPr>
          <w:rFonts w:hint="eastAsia"/>
        </w:rPr>
      </w:pPr>
    </w:p>
    <w:p>
      <w:pPr>
        <w:spacing w:line="240" w:lineRule="auto"/>
        <w:ind w:firstLine="480"/>
        <w:jc w:val="center"/>
      </w:pPr>
      <w:r>
        <w:drawing>
          <wp:inline distT="0" distB="0" distL="114300" distR="114300">
            <wp:extent cx="1143000" cy="1143000"/>
            <wp:effectExtent l="0" t="0" r="0" b="0"/>
            <wp:docPr id="2" name="图片 2" descr="完税证明开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完税证明开具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/>
        <w:rPr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楷体_GBK">
    <w:altName w:val="方正兰亭超细黑简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MV Bol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书宋_GBK">
    <w:altName w:val="方正兰亭超细黑简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icrosoft Himalaya">
    <w:altName w:val="Sylfaen"/>
    <w:panose1 w:val="01010100010101010101"/>
    <w:charset w:val="00"/>
    <w:family w:val="auto"/>
    <w:pitch w:val="default"/>
    <w:sig w:usb0="00000000" w:usb1="00000000" w:usb2="00000040" w:usb3="00000000" w:csb0="0000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 Math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 w:tentative="0">
      <w:start w:val="1"/>
      <w:numFmt w:val="bullet"/>
      <w:pStyle w:val="7"/>
      <w:lvlText w:val=""/>
      <w:lvlJc w:val="left"/>
      <w:pPr>
        <w:tabs>
          <w:tab w:val="left" w:pos="0"/>
        </w:tabs>
        <w:ind w:left="0" w:hanging="420"/>
      </w:pPr>
      <w:rPr>
        <w:rFonts w:hint="default" w:ascii="Wingdings" w:hAnsi="Wingdings" w:cs="Wingdings"/>
      </w:rPr>
    </w:lvl>
    <w:lvl w:ilvl="1" w:tentative="0">
      <w:start w:val="1"/>
      <w:numFmt w:val="decimal"/>
      <w:lvlText w:val="%2."/>
      <w:lvlJc w:val="left"/>
      <w:pPr>
        <w:tabs>
          <w:tab w:val="left" w:pos="453"/>
        </w:tabs>
        <w:ind w:left="453" w:hanging="360"/>
      </w:pPr>
    </w:lvl>
    <w:lvl w:ilvl="2" w:tentative="0">
      <w:start w:val="1"/>
      <w:numFmt w:val="decimal"/>
      <w:lvlText w:val="%3."/>
      <w:lvlJc w:val="left"/>
      <w:pPr>
        <w:tabs>
          <w:tab w:val="left" w:pos="1173"/>
        </w:tabs>
        <w:ind w:left="1173" w:hanging="360"/>
      </w:pPr>
    </w:lvl>
    <w:lvl w:ilvl="3" w:tentative="0">
      <w:start w:val="1"/>
      <w:numFmt w:val="decimal"/>
      <w:lvlText w:val="%4."/>
      <w:lvlJc w:val="left"/>
      <w:pPr>
        <w:tabs>
          <w:tab w:val="left" w:pos="1893"/>
        </w:tabs>
        <w:ind w:left="1893" w:hanging="360"/>
      </w:pPr>
    </w:lvl>
    <w:lvl w:ilvl="4" w:tentative="0">
      <w:start w:val="1"/>
      <w:numFmt w:val="decimal"/>
      <w:lvlText w:val="%5."/>
      <w:lvlJc w:val="left"/>
      <w:pPr>
        <w:tabs>
          <w:tab w:val="left" w:pos="2613"/>
        </w:tabs>
        <w:ind w:left="2613" w:hanging="360"/>
      </w:pPr>
    </w:lvl>
    <w:lvl w:ilvl="5" w:tentative="0">
      <w:start w:val="1"/>
      <w:numFmt w:val="decimal"/>
      <w:lvlText w:val="%6."/>
      <w:lvlJc w:val="left"/>
      <w:pPr>
        <w:tabs>
          <w:tab w:val="left" w:pos="3333"/>
        </w:tabs>
        <w:ind w:left="3333" w:hanging="360"/>
      </w:pPr>
    </w:lvl>
    <w:lvl w:ilvl="6" w:tentative="0">
      <w:start w:val="1"/>
      <w:numFmt w:val="decimal"/>
      <w:lvlText w:val="%7."/>
      <w:lvlJc w:val="left"/>
      <w:pPr>
        <w:tabs>
          <w:tab w:val="left" w:pos="4053"/>
        </w:tabs>
        <w:ind w:left="4053" w:hanging="360"/>
      </w:pPr>
    </w:lvl>
    <w:lvl w:ilvl="7" w:tentative="0">
      <w:start w:val="1"/>
      <w:numFmt w:val="decimal"/>
      <w:lvlText w:val="%8."/>
      <w:lvlJc w:val="left"/>
      <w:pPr>
        <w:tabs>
          <w:tab w:val="left" w:pos="4773"/>
        </w:tabs>
        <w:ind w:left="4773" w:hanging="360"/>
      </w:pPr>
    </w:lvl>
    <w:lvl w:ilvl="8" w:tentative="0">
      <w:start w:val="1"/>
      <w:numFmt w:val="decimal"/>
      <w:lvlText w:val="%9."/>
      <w:lvlJc w:val="left"/>
      <w:pPr>
        <w:tabs>
          <w:tab w:val="left" w:pos="5493"/>
        </w:tabs>
        <w:ind w:left="549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9D1EFC"/>
    <w:rsid w:val="3D58661F"/>
    <w:rsid w:val="5A1649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exact"/>
      <w:ind w:firstLine="720" w:firstLineChars="20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60" w:lineRule="exact"/>
      <w:ind w:left="0" w:leftChars="0" w:firstLine="720" w:firstLineChars="200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keepNext w:val="0"/>
      <w:keepLines w:val="0"/>
      <w:spacing w:before="0" w:beforeLines="0" w:after="0" w:afterLines="0" w:line="460" w:lineRule="exact"/>
      <w:ind w:firstLine="480" w:firstLineChars="200"/>
      <w:outlineLvl w:val="2"/>
    </w:pPr>
    <w:rPr>
      <w:rFonts w:eastAsia="方正楷体_GBK"/>
      <w:b/>
      <w:bCs/>
      <w:sz w:val="28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 Char Char7"/>
    <w:qFormat/>
    <w:uiPriority w:val="0"/>
    <w:rPr>
      <w:rFonts w:ascii="Times New Roman" w:hAnsi="Times New Roman" w:eastAsia="方正楷体_GBK"/>
      <w:b/>
      <w:bCs/>
      <w:kern w:val="2"/>
      <w:sz w:val="28"/>
      <w:szCs w:val="32"/>
      <w:lang w:val="en-US" w:eastAsia="zh-CN" w:bidi="ar-SA"/>
    </w:rPr>
  </w:style>
  <w:style w:type="paragraph" w:customStyle="1" w:styleId="7">
    <w:name w:val="标题小8"/>
    <w:basedOn w:val="1"/>
    <w:qFormat/>
    <w:uiPriority w:val="0"/>
    <w:pPr>
      <w:numPr>
        <w:ilvl w:val="0"/>
        <w:numId w:val="1"/>
      </w:numPr>
      <w:ind w:firstLineChars="0"/>
    </w:pPr>
    <w:rPr>
      <w:rFonts w:ascii="宋体" w:hAnsi="宋体"/>
    </w:rPr>
  </w:style>
  <w:style w:type="paragraph" w:customStyle="1" w:styleId="8">
    <w:name w:val="05正文"/>
    <w:qFormat/>
    <w:uiPriority w:val="0"/>
    <w:pPr>
      <w:widowControl w:val="0"/>
      <w:spacing w:line="620" w:lineRule="exact"/>
      <w:ind w:firstLine="200" w:firstLineChars="200"/>
      <w:jc w:val="both"/>
    </w:pPr>
    <w:rPr>
      <w:rFonts w:asciiTheme="minorHAnsi" w:hAnsiTheme="minorHAnsi" w:eastAsiaTheme="minorEastAsia" w:cstheme="minorBidi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bgs</cp:lastModifiedBy>
  <dcterms:modified xsi:type="dcterms:W3CDTF">2018-01-16T01:25:16Z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