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Fonts w:ascii="仿宋_GB2312" w:hAnsi="华文中宋" w:eastAsia="仿宋_GB2312" w:cs="仿宋_GB2312"/>
          <w:sz w:val="106"/>
          <w:szCs w:val="106"/>
        </w:rPr>
      </w:pPr>
      <w:r>
        <w:rPr>
          <w:rFonts w:hint="eastAsia" w:ascii="Times New Roman" w:hAnsi="Times New Roman" w:eastAsia="方正小标宋简体"/>
          <w:color w:val="FF0000"/>
          <w:spacing w:val="28"/>
          <w:w w:val="52"/>
          <w:sz w:val="110"/>
          <w:szCs w:val="110"/>
        </w:rPr>
        <w:t>沧源佤族自治县交通运输局文件</w:t>
      </w:r>
    </w:p>
    <w:p>
      <w:pPr>
        <w:spacing w:line="540" w:lineRule="exact"/>
        <w:ind w:firstLine="357" w:firstLineChars="170"/>
        <w:rPr>
          <w:rFonts w:ascii="楷体_GB2312" w:hAnsi="华文中宋" w:eastAsia="楷体_GB2312" w:cs="楷体_GB2312"/>
          <w:sz w:val="32"/>
          <w:szCs w:val="32"/>
        </w:rPr>
      </w:pPr>
      <w:r>
        <w:rPr>
          <w:rFonts w:ascii="Calibri" w:hAnsi="Calibri" w:eastAsia="宋体" w:cs="Times New Roman"/>
        </w:rPr>
        <mc:AlternateContent>
          <mc:Choice Requires="wps">
            <w:drawing>
              <wp:anchor distT="0" distB="0" distL="114300" distR="114300" simplePos="0" relativeHeight="251660288" behindDoc="0" locked="0" layoutInCell="1" allowOverlap="1">
                <wp:simplePos x="0" y="0"/>
                <wp:positionH relativeFrom="column">
                  <wp:posOffset>69215</wp:posOffset>
                </wp:positionH>
                <wp:positionV relativeFrom="paragraph">
                  <wp:posOffset>100965</wp:posOffset>
                </wp:positionV>
                <wp:extent cx="5641340" cy="5080"/>
                <wp:effectExtent l="0" t="0" r="0" b="0"/>
                <wp:wrapNone/>
                <wp:docPr id="1" name="Line 7"/>
                <wp:cNvGraphicFramePr/>
                <a:graphic xmlns:a="http://schemas.openxmlformats.org/drawingml/2006/main">
                  <a:graphicData uri="http://schemas.microsoft.com/office/word/2010/wordprocessingShape">
                    <wps:wsp>
                      <wps:cNvCnPr/>
                      <wps:spPr>
                        <a:xfrm flipV="1">
                          <a:off x="0" y="0"/>
                          <a:ext cx="5641340" cy="508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Line 7" o:spid="_x0000_s1026" o:spt="20" style="position:absolute;left:0pt;flip:y;margin-left:5.45pt;margin-top:7.95pt;height:0.4pt;width:444.2pt;z-index:251660288;mso-width-relative:page;mso-height-relative:page;" filled="f" stroked="t" coordsize="21600,21600" o:gfxdata="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RYs9dgAAAAIAQAA&#10;DwAAAAAAAAABACAAAAAiAAAAZHJzL2Rvd25yZXYueG1sUEsBAhQAFAAAAAgAh07iQDZBwLngAQAA&#10;2wMAAA4AAAAAAAAAAQAgAAAAJwEAAGRycy9lMm9Eb2MueG1sUEsFBgAAAAAGAAYAWQEAAHkFAAAA&#10;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沧源佤族自治县</w:t>
      </w:r>
      <w:r>
        <w:rPr>
          <w:rFonts w:hint="eastAsia" w:ascii="Times New Roman" w:hAnsi="Times New Roman" w:eastAsia="方正小标宋简体" w:cs="Times New Roman"/>
          <w:b w:val="0"/>
          <w:bCs w:val="0"/>
          <w:sz w:val="44"/>
          <w:szCs w:val="44"/>
          <w:lang w:val="en-US" w:eastAsia="zh-CN"/>
        </w:rPr>
        <w:t>交通运输局</w:t>
      </w: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b w:val="0"/>
          <w:bCs w:val="0"/>
          <w:sz w:val="44"/>
          <w:szCs w:val="44"/>
          <w:lang w:val="en-US" w:eastAsia="zh-CN"/>
        </w:rPr>
        <w:t>2022年政府</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信息公开工作年度报告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县政府办</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根据《中华人民共和国政府信息公开条例》《云南省政府信息公开规定》和《临沧市人民政府办公室关于做好 2022年政府信息公开工作年度报告编制公布工作的通知》( 临政办字〔2023〕1号</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文件要求，</w:t>
      </w:r>
      <w:r>
        <w:rPr>
          <w:rFonts w:hint="eastAsia" w:ascii="Times New Roman" w:hAnsi="Times New Roman" w:eastAsia="仿宋_GB2312" w:cs="Times New Roman"/>
          <w:b w:val="0"/>
          <w:bCs w:val="0"/>
          <w:sz w:val="32"/>
          <w:szCs w:val="32"/>
          <w:lang w:val="en-US" w:eastAsia="zh-CN"/>
        </w:rPr>
        <w:t>结合</w:t>
      </w:r>
      <w:r>
        <w:rPr>
          <w:rFonts w:hint="default" w:ascii="Times New Roman" w:hAnsi="Times New Roman" w:eastAsia="仿宋_GB2312" w:cs="Times New Roman"/>
          <w:b w:val="0"/>
          <w:bCs w:val="0"/>
          <w:sz w:val="32"/>
          <w:szCs w:val="32"/>
          <w:lang w:val="en-US" w:eastAsia="zh-CN"/>
        </w:rPr>
        <w:t>沧源佤族自治县</w:t>
      </w:r>
      <w:r>
        <w:rPr>
          <w:rFonts w:hint="eastAsia" w:ascii="Times New Roman" w:hAnsi="Times New Roman" w:eastAsia="仿宋_GB2312" w:cs="Times New Roman"/>
          <w:b w:val="0"/>
          <w:bCs w:val="0"/>
          <w:sz w:val="32"/>
          <w:szCs w:val="32"/>
          <w:lang w:val="en-US" w:eastAsia="zh-CN"/>
        </w:rPr>
        <w:t>人民政府办公室2021年政府信息与政务公开工作基本情况编制本报告。</w:t>
      </w:r>
      <w:bookmarkStart w:id="0" w:name="_GoBack"/>
      <w:bookmarkEnd w:id="0"/>
      <w:r>
        <w:rPr>
          <w:rFonts w:hint="default" w:ascii="Times New Roman" w:hAnsi="Times New Roman" w:eastAsia="仿宋_GB2312" w:cs="Times New Roman"/>
          <w:b w:val="0"/>
          <w:bCs w:val="0"/>
          <w:sz w:val="32"/>
          <w:szCs w:val="32"/>
          <w:lang w:val="en-US" w:eastAsia="zh-CN"/>
        </w:rPr>
        <w:t>本报告由总体情况、主动公开政府信息情况、收到和处理政府信息公开申请情况、政府信息公开行政复议及行政诉讼情况、存在的主要问题及改进情况、其他需要报告事项等六部分组成，本报告中所列数据的统计期限自2022年1月1日起至2022年12月31日止。本报告的电子版可在“沧源佤族自治县人民政府”网站</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域名</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www.cangyuan.gov.cn</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查询</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如对本报告有任何疑问</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请与沧源佤族自治县</w:t>
      </w:r>
      <w:r>
        <w:rPr>
          <w:rFonts w:hint="eastAsia" w:ascii="Times New Roman" w:hAnsi="Times New Roman" w:eastAsia="仿宋_GB2312" w:cs="Times New Roman"/>
          <w:b w:val="0"/>
          <w:bCs w:val="0"/>
          <w:sz w:val="32"/>
          <w:szCs w:val="32"/>
          <w:lang w:val="en-US" w:eastAsia="zh-CN"/>
        </w:rPr>
        <w:t>交通运输</w:t>
      </w:r>
      <w:r>
        <w:rPr>
          <w:rFonts w:hint="default" w:ascii="Times New Roman" w:hAnsi="Times New Roman" w:eastAsia="仿宋_GB2312" w:cs="Times New Roman"/>
          <w:b w:val="0"/>
          <w:bCs w:val="0"/>
          <w:sz w:val="32"/>
          <w:szCs w:val="32"/>
          <w:lang w:val="en-US" w:eastAsia="zh-CN"/>
        </w:rPr>
        <w:t>局办公室联系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电话</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0883—7121</w:t>
      </w:r>
      <w:r>
        <w:rPr>
          <w:rFonts w:hint="eastAsia" w:ascii="Times New Roman" w:hAnsi="Times New Roman" w:eastAsia="仿宋_GB2312" w:cs="Times New Roman"/>
          <w:b w:val="0"/>
          <w:bCs w:val="0"/>
          <w:sz w:val="32"/>
          <w:szCs w:val="32"/>
          <w:lang w:val="en-US" w:eastAsia="zh-CN"/>
        </w:rPr>
        <w:t>100</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传真：0883—7122269，</w:t>
      </w:r>
      <w:r>
        <w:rPr>
          <w:rFonts w:hint="default" w:ascii="Times New Roman" w:hAnsi="Times New Roman" w:eastAsia="仿宋_GB2312" w:cs="Times New Roman"/>
          <w:b w:val="0"/>
          <w:bCs w:val="0"/>
          <w:sz w:val="32"/>
          <w:szCs w:val="32"/>
          <w:lang w:val="en-US" w:eastAsia="zh-CN"/>
        </w:rPr>
        <w:t>邮箱：cy</w:t>
      </w:r>
      <w:r>
        <w:rPr>
          <w:rFonts w:hint="eastAsia" w:ascii="Times New Roman" w:hAnsi="Times New Roman" w:eastAsia="仿宋_GB2312" w:cs="Times New Roman"/>
          <w:b w:val="0"/>
          <w:bCs w:val="0"/>
          <w:sz w:val="32"/>
          <w:szCs w:val="32"/>
          <w:lang w:val="en-US" w:eastAsia="zh-CN"/>
        </w:rPr>
        <w:t>jtj</w:t>
      </w:r>
      <w:r>
        <w:rPr>
          <w:rFonts w:hint="default" w:ascii="Times New Roman" w:hAnsi="Times New Roman" w:eastAsia="仿宋_GB2312" w:cs="Times New Roman"/>
          <w:b w:val="0"/>
          <w:bCs w:val="0"/>
          <w:sz w:val="32"/>
          <w:szCs w:val="32"/>
          <w:lang w:val="en-US" w:eastAsia="zh-CN"/>
        </w:rPr>
        <w:t>@126.com。</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(一)强化领导，压实责任。</w:t>
      </w:r>
      <w:r>
        <w:rPr>
          <w:rFonts w:hint="eastAsia" w:ascii="Times New Roman" w:hAnsi="Times New Roman" w:eastAsia="仿宋_GB2312" w:cs="Times New Roman"/>
          <w:b w:val="0"/>
          <w:bCs w:val="0"/>
          <w:sz w:val="32"/>
          <w:szCs w:val="32"/>
          <w:lang w:val="en-US" w:eastAsia="zh-CN"/>
        </w:rPr>
        <w:t>沧源佤族自治县交通运输局办公室高度重视政府信息与政务公开工作，始终坚持把政府信息与政务公开工作作为日常工作的重要组成部分，建立健全政务公开长效机制，稳步推进政务公开工作有序运行。始终坚持以习近平新时代中国特色社会主义思想为指导，扎实推进政府信息公开工作，成立沧源佤族自治县交通运输局办公室政府信息与政务公开工作领导小组，下设办公室在局综合办，制定县政府办公室信息报送目标任务，全体干部职工结合工作开展情况提供信息，由县政府信息与政务公开办负责收集、整理政府信息，统一发布。交通运输局办公室2022年主动公开政府信息条数23余条。其中:制定并印发规范性文件0份，规章0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楷体_GB2312" w:hAnsi="楷体_GB2312" w:eastAsia="楷体_GB2312" w:cs="楷体_GB2312"/>
          <w:b/>
          <w:bCs/>
          <w:sz w:val="32"/>
          <w:szCs w:val="32"/>
          <w:lang w:val="en-US" w:eastAsia="zh-CN"/>
        </w:rPr>
        <w:t>(二)健全制度，规范流程。</w:t>
      </w:r>
      <w:r>
        <w:rPr>
          <w:rFonts w:hint="eastAsia" w:ascii="Times New Roman" w:hAnsi="Times New Roman" w:eastAsia="仿宋_GB2312" w:cs="Times New Roman"/>
          <w:b w:val="0"/>
          <w:bCs w:val="0"/>
          <w:sz w:val="32"/>
          <w:szCs w:val="32"/>
          <w:lang w:val="en-US" w:eastAsia="zh-CN"/>
        </w:rPr>
        <w:t>沧源佤族自治县交通运输局办公室着力建立健全政府信息公开申请各项工作，严格落实政府信息公开申请接收、登记、审核、办理、答复、归档等各项工作制度进一步规范政府信息答复文书格式和申请办理工作全过程记录。</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二、主动公开政府信息情况</w:t>
      </w:r>
    </w:p>
    <w:tbl>
      <w:tblPr>
        <w:tblStyle w:val="8"/>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eastAsia" w:ascii="宋体" w:hAnsi="宋体" w:cs="宋体"/>
                <w:color w:val="000000"/>
                <w:kern w:val="0"/>
                <w:sz w:val="20"/>
                <w:szCs w:val="20"/>
                <w:lang w:val="en-US" w:eastAsia="zh-CN" w:bidi="ar"/>
              </w:rPr>
              <w:t>38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sz w:val="24"/>
                <w:szCs w:val="24"/>
              </w:rPr>
            </w:pPr>
            <w:r>
              <w:rPr>
                <w:rFonts w:hint="eastAsia" w:ascii="宋体" w:hAnsi="宋体" w:cs="宋体"/>
                <w:color w:val="000000"/>
                <w:kern w:val="0"/>
                <w:sz w:val="20"/>
                <w:szCs w:val="20"/>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三、收到和处理政府信息公开申请情况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vMerge w:val="restart"/>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6" w:type="dxa"/>
            <w:gridSpan w:val="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vMerge w:val="continue"/>
            <w:noWrap w:val="0"/>
            <w:tcMar>
              <w:left w:w="108" w:type="dxa"/>
              <w:right w:w="108" w:type="dxa"/>
            </w:tcMar>
            <w:vAlign w:val="center"/>
          </w:tcPr>
          <w:p>
            <w:pPr>
              <w:rPr>
                <w:rFonts w:hint="eastAsia" w:ascii="宋体"/>
                <w:sz w:val="24"/>
                <w:szCs w:val="24"/>
              </w:rPr>
            </w:pPr>
          </w:p>
        </w:tc>
        <w:tc>
          <w:tcPr>
            <w:tcW w:w="688"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8"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vMerge w:val="continue"/>
            <w:noWrap w:val="0"/>
            <w:tcMar>
              <w:left w:w="108" w:type="dxa"/>
              <w:right w:w="108" w:type="dxa"/>
            </w:tcMar>
            <w:vAlign w:val="center"/>
          </w:tcPr>
          <w:p>
            <w:pPr>
              <w:rPr>
                <w:rFonts w:hint="eastAsia" w:ascii="宋体"/>
                <w:sz w:val="24"/>
                <w:szCs w:val="24"/>
              </w:rPr>
            </w:pPr>
          </w:p>
        </w:tc>
        <w:tc>
          <w:tcPr>
            <w:tcW w:w="688" w:type="dxa"/>
            <w:vMerge w:val="continue"/>
            <w:noWrap w:val="0"/>
            <w:tcMar>
              <w:left w:w="57" w:type="dxa"/>
              <w:right w:w="57" w:type="dxa"/>
            </w:tcMar>
            <w:vAlign w:val="center"/>
          </w:tcPr>
          <w:p>
            <w:pPr>
              <w:rPr>
                <w:rFonts w:hint="eastAsia" w:ascii="宋体"/>
                <w:sz w:val="24"/>
                <w:szCs w:val="24"/>
              </w:rPr>
            </w:pPr>
          </w:p>
        </w:tc>
        <w:tc>
          <w:tcPr>
            <w:tcW w:w="688"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8" w:type="dxa"/>
            <w:vMerge w:val="continue"/>
            <w:noWrap w:val="0"/>
            <w:tcMar>
              <w:left w:w="57" w:type="dxa"/>
              <w:right w:w="57"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2"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4162"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pStyle w:val="2"/>
              <w:jc w:val="center"/>
              <w:rPr>
                <w:rFonts w:hint="default" w:cs="Calibri" w:asciiTheme="minorAscii" w:hAnsiTheme="minorAscii" w:eastAsiaTheme="minorEastAsia"/>
                <w:b w:val="0"/>
                <w:kern w:val="2"/>
                <w:sz w:val="18"/>
                <w:szCs w:val="18"/>
                <w:lang w:val="en-US" w:eastAsia="zh-CN" w:bidi="ar"/>
              </w:rPr>
            </w:pPr>
            <w:r>
              <w:rPr>
                <w:rFonts w:hint="default" w:cs="Calibri" w:asciiTheme="minorAscii" w:hAnsiTheme="minorAscii" w:eastAsiaTheme="minorEastAsia"/>
                <w:b w:val="0"/>
                <w:kern w:val="2"/>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0 </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restart"/>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19"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p>
          <w:p>
            <w:pPr>
              <w:jc w:val="center"/>
              <w:rPr>
                <w:rFonts w:hint="default" w:asciiTheme="minorAscii" w:hAnsiTheme="minorAscii"/>
                <w:sz w:val="18"/>
                <w:szCs w:val="18"/>
              </w:rPr>
            </w:pPr>
            <w:r>
              <w:rPr>
                <w:rFonts w:hint="default" w:cs="Calibri" w:asciiTheme="minorAscii" w:hAnsiTheme="minorAscii"/>
                <w:sz w:val="18"/>
                <w:szCs w:val="18"/>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943" w:type="dxa"/>
            <w:vMerge w:val="continue"/>
            <w:noWrap w:val="0"/>
            <w:tcMar>
              <w:left w:w="57" w:type="dxa"/>
              <w:right w:w="57" w:type="dxa"/>
            </w:tcMar>
            <w:vAlign w:val="center"/>
          </w:tcPr>
          <w:p>
            <w:pPr>
              <w:rPr>
                <w:rFonts w:hint="eastAsia" w:ascii="宋体"/>
                <w:sz w:val="24"/>
                <w:szCs w:val="24"/>
              </w:rPr>
            </w:pPr>
          </w:p>
        </w:tc>
        <w:tc>
          <w:tcPr>
            <w:tcW w:w="3219" w:type="dxa"/>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7" w:type="dxa"/>
            <w:vMerge w:val="continue"/>
            <w:noWrap w:val="0"/>
            <w:tcMar>
              <w:left w:w="57" w:type="dxa"/>
              <w:right w:w="57" w:type="dxa"/>
            </w:tcMar>
            <w:vAlign w:val="center"/>
          </w:tcPr>
          <w:p>
            <w:pPr>
              <w:rPr>
                <w:rFonts w:hint="eastAsia" w:ascii="宋体"/>
                <w:sz w:val="24"/>
                <w:szCs w:val="24"/>
              </w:rPr>
            </w:pPr>
          </w:p>
        </w:tc>
        <w:tc>
          <w:tcPr>
            <w:tcW w:w="4162" w:type="dxa"/>
            <w:gridSpan w:val="2"/>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929"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center"/>
          </w:tcPr>
          <w:p>
            <w:pPr>
              <w:jc w:val="center"/>
              <w:rPr>
                <w:rFonts w:hint="default" w:asciiTheme="minorAscii" w:hAnsiTheme="minorAscii"/>
                <w:sz w:val="18"/>
                <w:szCs w:val="18"/>
              </w:rPr>
            </w:pPr>
            <w:r>
              <w:rPr>
                <w:rFonts w:hint="default" w:cs="Calibri" w:asciiTheme="minorAscii" w:hAnsiTheme="minorAscii"/>
                <w:sz w:val="18"/>
                <w:szCs w:val="18"/>
                <w:lang w:bidi="ar"/>
              </w:rPr>
              <w:t> 0</w:t>
            </w:r>
          </w:p>
        </w:tc>
        <w:tc>
          <w:tcPr>
            <w:tcW w:w="688" w:type="dxa"/>
            <w:noWrap w:val="0"/>
            <w:tcMar>
              <w:left w:w="57" w:type="dxa"/>
              <w:right w:w="57" w:type="dxa"/>
            </w:tcMar>
            <w:vAlign w:val="top"/>
          </w:tcPr>
          <w:p>
            <w:pPr>
              <w:rPr>
                <w:rFonts w:hint="default" w:asciiTheme="minorAscii" w:hAnsiTheme="minorAscii"/>
                <w:sz w:val="18"/>
                <w:szCs w:val="18"/>
              </w:rPr>
            </w:pPr>
            <w:r>
              <w:rPr>
                <w:rFonts w:hint="default" w:asciiTheme="minorAscii" w:hAnsiTheme="minorAscii"/>
                <w:sz w:val="18"/>
                <w:szCs w:val="18"/>
              </w:rPr>
              <w:t xml:space="preserve">  0</w:t>
            </w:r>
          </w:p>
        </w:tc>
      </w:tr>
    </w:tbl>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四、政府信息公开行政复议、行政诉讼情况</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default" w:cs="Calibri" w:asciiTheme="minorAscii" w:hAnsiTheme="minorAscii"/>
                <w:sz w:val="18"/>
                <w:szCs w:val="18"/>
                <w:lang w:bidi="ar"/>
              </w:rPr>
              <w:t> </w:t>
            </w:r>
            <w:r>
              <w:rPr>
                <w:rFonts w:hint="eastAsia" w:cs="Calibri" w:asciiTheme="minorAscii" w:hAnsiTheme="minorAscii"/>
                <w:sz w:val="18"/>
                <w:szCs w:val="18"/>
                <w:lang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default" w:cs="Calibri" w:asciiTheme="minorAscii" w:hAnsiTheme="minorAscii"/>
                <w:sz w:val="18"/>
                <w:szCs w:val="18"/>
                <w:lang w:bidi="ar"/>
              </w:rPr>
            </w:pPr>
            <w:r>
              <w:rPr>
                <w:rFonts w:hint="eastAsia" w:cs="Calibri" w:asciiTheme="minorAscii" w:hAnsiTheme="minorAscii"/>
                <w:sz w:val="18"/>
                <w:szCs w:val="18"/>
                <w:lang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cs="Calibri" w:asciiTheme="minorAscii" w:hAnsiTheme="minorAscii"/>
                <w:sz w:val="18"/>
                <w:szCs w:val="18"/>
                <w:lang w:bidi="ar"/>
              </w:rPr>
            </w:pPr>
            <w:r>
              <w:rPr>
                <w:rFonts w:hint="eastAsia" w:cs="Calibri" w:asciiTheme="minorAscii" w:hAnsiTheme="minorAscii"/>
                <w:sz w:val="18"/>
                <w:szCs w:val="18"/>
                <w:lang w:bidi="ar"/>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val="0"/>
          <w:i w:val="0"/>
          <w:caps w:val="0"/>
          <w:color w:val="000000"/>
          <w:spacing w:val="0"/>
          <w:w w:val="100"/>
          <w:kern w:val="0"/>
          <w:sz w:val="32"/>
          <w:szCs w:val="32"/>
          <w:lang w:eastAsia="zh-CN"/>
        </w:rPr>
      </w:pPr>
      <w:r>
        <w:rPr>
          <w:rFonts w:hint="eastAsia" w:ascii="楷体_GB2312" w:hAnsi="楷体_GB2312" w:eastAsia="楷体_GB2312" w:cs="楷体_GB2312"/>
          <w:b/>
          <w:bCs/>
          <w:sz w:val="32"/>
          <w:szCs w:val="32"/>
          <w:lang w:eastAsia="zh-CN"/>
        </w:rPr>
        <w:t>（一）存在的主要问题。</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i w:val="0"/>
          <w:caps w:val="0"/>
          <w:color w:val="000000"/>
          <w:spacing w:val="0"/>
          <w:w w:val="100"/>
          <w:kern w:val="0"/>
          <w:sz w:val="32"/>
          <w:szCs w:val="32"/>
          <w:lang w:eastAsia="zh-CN"/>
        </w:rPr>
        <w:t>干部存在的问题:一是对政务公开工作认识不足。虽然近年来一直在推进政府信息与政务公开工作，但工作人员对此项工作基本处于一知半解状态，对公开工作的程序、制度、相关责任的理解不够清晰。对政务公开工作认识不足，存在应付了事心态，信息公开的内容不够完善，信息公开的主动性不强。</w:t>
      </w:r>
      <w:r>
        <w:rPr>
          <w:rFonts w:hint="eastAsia" w:ascii="仿宋_GB2312" w:hAnsi="仿宋_GB2312" w:eastAsia="仿宋_GB2312" w:cs="仿宋_GB2312"/>
          <w:b/>
          <w:bCs/>
          <w:i w:val="0"/>
          <w:caps w:val="0"/>
          <w:color w:val="000000"/>
          <w:spacing w:val="0"/>
          <w:w w:val="100"/>
          <w:kern w:val="0"/>
          <w:sz w:val="32"/>
          <w:szCs w:val="32"/>
          <w:lang w:eastAsia="zh-CN"/>
        </w:rPr>
        <w:t>二是</w:t>
      </w:r>
      <w:r>
        <w:rPr>
          <w:rFonts w:hint="eastAsia" w:ascii="仿宋_GB2312" w:hAnsi="仿宋_GB2312" w:eastAsia="仿宋_GB2312" w:cs="仿宋_GB2312"/>
          <w:b w:val="0"/>
          <w:bCs w:val="0"/>
          <w:i w:val="0"/>
          <w:caps w:val="0"/>
          <w:color w:val="000000"/>
          <w:spacing w:val="0"/>
          <w:w w:val="100"/>
          <w:kern w:val="0"/>
          <w:sz w:val="32"/>
          <w:szCs w:val="32"/>
          <w:lang w:eastAsia="zh-CN"/>
        </w:rPr>
        <w:t>政府信息公开方式单一。我局信息公开方式基本满足于文字信息公开，对图文并重、视频讲解等公开的方式研究不足，部分信息公开时间不够及时，公开信息种类不够丰富。</w:t>
      </w:r>
      <w:r>
        <w:rPr>
          <w:rFonts w:hint="eastAsia" w:ascii="仿宋_GB2312" w:hAnsi="仿宋_GB2312" w:eastAsia="仿宋_GB2312" w:cs="仿宋_GB2312"/>
          <w:b/>
          <w:bCs/>
          <w:i w:val="0"/>
          <w:caps w:val="0"/>
          <w:color w:val="000000"/>
          <w:spacing w:val="0"/>
          <w:w w:val="100"/>
          <w:kern w:val="0"/>
          <w:sz w:val="32"/>
          <w:szCs w:val="32"/>
          <w:lang w:eastAsia="zh-CN"/>
        </w:rPr>
        <w:t>三是</w:t>
      </w:r>
      <w:r>
        <w:rPr>
          <w:rFonts w:hint="eastAsia" w:ascii="仿宋_GB2312" w:hAnsi="仿宋_GB2312" w:eastAsia="仿宋_GB2312" w:cs="仿宋_GB2312"/>
          <w:b w:val="0"/>
          <w:bCs w:val="0"/>
          <w:i w:val="0"/>
          <w:caps w:val="0"/>
          <w:color w:val="000000"/>
          <w:spacing w:val="0"/>
          <w:w w:val="100"/>
          <w:kern w:val="0"/>
          <w:sz w:val="32"/>
          <w:szCs w:val="32"/>
          <w:lang w:eastAsia="zh-CN"/>
        </w:rPr>
        <w:t>人员配备不足。目前，我局政府信息与政务公开工作的工作人员少，兼职人员专业素养不高，信息处理能力和资源整合能力不足，信息审核把关不严。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Times New Roman" w:hAnsi="Times New Roman" w:eastAsia="仿宋_GB2312" w:cs="Times New Roman"/>
          <w:b w:val="0"/>
          <w:bCs w:val="0"/>
          <w:sz w:val="32"/>
          <w:szCs w:val="32"/>
        </w:rPr>
      </w:pPr>
      <w:r>
        <w:rPr>
          <w:rFonts w:hint="eastAsia" w:ascii="楷体_GB2312" w:hAnsi="楷体_GB2312" w:eastAsia="楷体_GB2312" w:cs="楷体_GB2312"/>
          <w:b/>
          <w:bCs/>
          <w:sz w:val="32"/>
          <w:szCs w:val="32"/>
          <w:lang w:eastAsia="zh-CN"/>
        </w:rPr>
        <w:t>（二）改进情况。</w:t>
      </w:r>
      <w:r>
        <w:rPr>
          <w:rFonts w:hint="eastAsia" w:ascii="仿宋_GB2312" w:hAnsi="仿宋_GB2312" w:eastAsia="仿宋_GB2312" w:cs="仿宋_GB2312"/>
          <w:b/>
          <w:bCs/>
          <w:i w:val="0"/>
          <w:caps w:val="0"/>
          <w:color w:val="000000"/>
          <w:spacing w:val="0"/>
          <w:w w:val="100"/>
          <w:kern w:val="0"/>
          <w:sz w:val="32"/>
          <w:szCs w:val="32"/>
          <w:lang w:eastAsia="zh-CN"/>
        </w:rPr>
        <w:t>一是</w:t>
      </w:r>
      <w:r>
        <w:rPr>
          <w:rFonts w:hint="eastAsia" w:ascii="仿宋_GB2312" w:hAnsi="仿宋_GB2312" w:eastAsia="仿宋_GB2312" w:cs="仿宋_GB2312"/>
          <w:b w:val="0"/>
          <w:bCs w:val="0"/>
          <w:i w:val="0"/>
          <w:caps w:val="0"/>
          <w:color w:val="000000"/>
          <w:spacing w:val="0"/>
          <w:w w:val="100"/>
          <w:kern w:val="0"/>
          <w:sz w:val="32"/>
          <w:szCs w:val="32"/>
          <w:lang w:eastAsia="zh-CN"/>
        </w:rPr>
        <w:t>进一步加大公开力度。按“以公开为原则，不公开为例外”的要求，进一步加大政府信息公开力度，特别是加大政策性文件、重点热点信息，不断丰富、充实和完善政府信息公开内容。</w:t>
      </w:r>
      <w:r>
        <w:rPr>
          <w:rFonts w:hint="eastAsia" w:ascii="仿宋_GB2312" w:hAnsi="仿宋_GB2312" w:eastAsia="仿宋_GB2312" w:cs="仿宋_GB2312"/>
          <w:b/>
          <w:bCs/>
          <w:i w:val="0"/>
          <w:caps w:val="0"/>
          <w:color w:val="000000"/>
          <w:spacing w:val="0"/>
          <w:w w:val="100"/>
          <w:kern w:val="0"/>
          <w:sz w:val="32"/>
          <w:szCs w:val="32"/>
          <w:lang w:eastAsia="zh-CN"/>
        </w:rPr>
        <w:t>二是</w:t>
      </w:r>
      <w:r>
        <w:rPr>
          <w:rFonts w:hint="eastAsia" w:ascii="仿宋_GB2312" w:hAnsi="仿宋_GB2312" w:eastAsia="仿宋_GB2312" w:cs="仿宋_GB2312"/>
          <w:b w:val="0"/>
          <w:bCs w:val="0"/>
          <w:i w:val="0"/>
          <w:caps w:val="0"/>
          <w:color w:val="000000"/>
          <w:spacing w:val="0"/>
          <w:w w:val="100"/>
          <w:kern w:val="0"/>
          <w:sz w:val="32"/>
          <w:szCs w:val="32"/>
          <w:lang w:eastAsia="zh-CN"/>
        </w:rPr>
        <w:t>加强队伍建设。不定期开展政务公开信息工作培训，增强业务人员意识，提高业务人员综合素质;进一步强化各股室合作，提高信息更新速度。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政府信息处理费收取情况：</w:t>
      </w:r>
      <w:r>
        <w:rPr>
          <w:rFonts w:hint="eastAsia" w:ascii="Times New Roman" w:hAnsi="Times New Roman" w:eastAsia="仿宋_GB2312" w:cs="Times New Roman"/>
          <w:b w:val="0"/>
          <w:bCs w:val="0"/>
          <w:sz w:val="32"/>
          <w:szCs w:val="32"/>
          <w:lang w:val="en-US" w:eastAsia="zh-CN"/>
        </w:rPr>
        <w:t>2022年，我局无政府信息处理费收取情况</w:t>
      </w:r>
      <w:r>
        <w:rPr>
          <w:rFonts w:hint="eastAsia" w:ascii="Times New Roman" w:hAnsi="Times New Roman" w:eastAsia="仿宋_GB2312" w:cs="Times New Roman"/>
          <w:b w:val="0"/>
          <w:bCs w:val="0"/>
          <w:sz w:val="32"/>
          <w:szCs w:val="32"/>
          <w:lang w:eastAsia="zh-CN"/>
        </w:rPr>
        <w:t>。</w:t>
      </w:r>
    </w:p>
    <w:p>
      <w:pPr>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沧源佤族自治县</w:t>
      </w:r>
      <w:r>
        <w:rPr>
          <w:rFonts w:hint="eastAsia" w:ascii="Times New Roman" w:hAnsi="Times New Roman" w:eastAsia="仿宋_GB2312" w:cs="Times New Roman"/>
          <w:b w:val="0"/>
          <w:bCs w:val="0"/>
          <w:sz w:val="32"/>
          <w:szCs w:val="32"/>
          <w:lang w:val="en-US" w:eastAsia="zh-CN"/>
        </w:rPr>
        <w:t xml:space="preserve">交通运输局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2023年1月28日</w:t>
      </w:r>
    </w:p>
    <w:p>
      <w:pPr>
        <w:autoSpaceDE w:val="0"/>
        <w:autoSpaceDN w:val="0"/>
        <w:adjustRightInd w:val="0"/>
        <w:spacing w:line="590" w:lineRule="exact"/>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pPr>
        <w:pStyle w:val="7"/>
        <w:widowControl/>
        <w:shd w:val="clear" w:color="auto" w:fill="FFFFFF"/>
        <w:spacing w:beforeAutospacing="0" w:afterAutospacing="0" w:line="560" w:lineRule="exact"/>
        <w:jc w:val="both"/>
        <w:rPr>
          <w:rFonts w:ascii="Times New Roman" w:hAnsi="Times New Roman" w:eastAsia="方正小标宋简体"/>
          <w:b/>
          <w:sz w:val="44"/>
          <w:szCs w:val="44"/>
        </w:rPr>
      </w:pPr>
    </w:p>
    <w:p/>
    <w:sectPr>
      <w:footerReference r:id="rId3" w:type="default"/>
      <w:pgSz w:w="11906" w:h="16838"/>
      <w:pgMar w:top="2098" w:right="1417" w:bottom="1757" w:left="1417" w:header="851" w:footer="992" w:gutter="0"/>
      <w:pgNumType w:fmt="decimal"/>
      <w:cols w:space="425"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r>
                            <w:rPr>
                              <w:rFonts w:hint="eastAsia"/>
                              <w:sz w:val="1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r>
                      <w:rPr>
                        <w:rFonts w:hint="eastAsia"/>
                        <w:sz w:val="1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ABB407"/>
    <w:multiLevelType w:val="singleLevel"/>
    <w:tmpl w:val="E3ABB40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YWYyZjNkZGQwODg5YzMzYTQyNDNmZDQ4M2UzNTAifQ=="/>
  </w:docVars>
  <w:rsids>
    <w:rsidRoot w:val="70403601"/>
    <w:rsid w:val="00647F74"/>
    <w:rsid w:val="00814795"/>
    <w:rsid w:val="008D6554"/>
    <w:rsid w:val="009026DF"/>
    <w:rsid w:val="00B36F05"/>
    <w:rsid w:val="02C87D95"/>
    <w:rsid w:val="05847F27"/>
    <w:rsid w:val="0B553B5B"/>
    <w:rsid w:val="0F4D186A"/>
    <w:rsid w:val="125A4E46"/>
    <w:rsid w:val="12C94782"/>
    <w:rsid w:val="130428FB"/>
    <w:rsid w:val="138E2FF9"/>
    <w:rsid w:val="13A02D2C"/>
    <w:rsid w:val="156866AC"/>
    <w:rsid w:val="17253C74"/>
    <w:rsid w:val="1A293A7B"/>
    <w:rsid w:val="1E6B08A9"/>
    <w:rsid w:val="209F5AE2"/>
    <w:rsid w:val="278B0F6D"/>
    <w:rsid w:val="27A11FF3"/>
    <w:rsid w:val="2943636D"/>
    <w:rsid w:val="307204C4"/>
    <w:rsid w:val="312D3F72"/>
    <w:rsid w:val="31B639EF"/>
    <w:rsid w:val="346624BB"/>
    <w:rsid w:val="39D92D9A"/>
    <w:rsid w:val="3AB36293"/>
    <w:rsid w:val="469D4D26"/>
    <w:rsid w:val="4A38723F"/>
    <w:rsid w:val="4B065F8A"/>
    <w:rsid w:val="4B86722B"/>
    <w:rsid w:val="54307870"/>
    <w:rsid w:val="555F7FAF"/>
    <w:rsid w:val="56E24D4F"/>
    <w:rsid w:val="5B7460E2"/>
    <w:rsid w:val="5C27140D"/>
    <w:rsid w:val="5C2B3F93"/>
    <w:rsid w:val="5D6A7A0B"/>
    <w:rsid w:val="5E287C41"/>
    <w:rsid w:val="5F5B4F7D"/>
    <w:rsid w:val="62FA10DE"/>
    <w:rsid w:val="679D472E"/>
    <w:rsid w:val="6CA62E95"/>
    <w:rsid w:val="70331BF1"/>
    <w:rsid w:val="70403601"/>
    <w:rsid w:val="72133F6A"/>
    <w:rsid w:val="743D52CE"/>
    <w:rsid w:val="76AE4262"/>
    <w:rsid w:val="775C1B96"/>
    <w:rsid w:val="78923675"/>
    <w:rsid w:val="791C7F09"/>
    <w:rsid w:val="7A16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link w:val="12"/>
    <w:unhideWhenUsed/>
    <w:qFormat/>
    <w:uiPriority w:val="0"/>
    <w:pPr>
      <w:widowControl/>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4">
    <w:name w:val="Date"/>
    <w:basedOn w:val="1"/>
    <w:next w:val="1"/>
    <w:link w:val="14"/>
    <w:qFormat/>
    <w:uiPriority w:val="0"/>
    <w:pPr>
      <w:ind w:left="100" w:leftChars="2500"/>
    </w:pPr>
  </w:style>
  <w:style w:type="paragraph" w:styleId="5">
    <w:name w:val="footer"/>
    <w:basedOn w:val="1"/>
    <w:link w:val="13"/>
    <w:qFormat/>
    <w:uiPriority w:val="0"/>
    <w:pPr>
      <w:tabs>
        <w:tab w:val="center" w:pos="4153"/>
        <w:tab w:val="right" w:pos="8306"/>
      </w:tabs>
      <w:snapToGrid w:val="0"/>
      <w:jc w:val="left"/>
    </w:pPr>
    <w:rPr>
      <w:sz w:val="18"/>
    </w:rPr>
  </w:style>
  <w:style w:type="paragraph" w:styleId="6">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ascii="Calibri" w:hAnsi="Calibri" w:eastAsia="宋体" w:cs="Times New Roman"/>
      <w:kern w:val="0"/>
      <w:sz w:val="24"/>
    </w:rPr>
  </w:style>
  <w:style w:type="character" w:customStyle="1" w:styleId="10">
    <w:name w:val="页眉 Char"/>
    <w:basedOn w:val="9"/>
    <w:link w:val="6"/>
    <w:qFormat/>
    <w:uiPriority w:val="0"/>
    <w:rPr>
      <w:rFonts w:hint="default" w:ascii="Calibri" w:hAnsi="Calibri" w:eastAsia="宋体" w:cs="Calibri"/>
      <w:kern w:val="2"/>
      <w:sz w:val="18"/>
      <w:szCs w:val="24"/>
    </w:rPr>
  </w:style>
  <w:style w:type="character" w:customStyle="1" w:styleId="11">
    <w:name w:val="NormalCharacter"/>
    <w:basedOn w:val="9"/>
    <w:qFormat/>
    <w:uiPriority w:val="0"/>
    <w:rPr>
      <w:rFonts w:hint="default" w:ascii="Calibri" w:hAnsi="Calibri" w:eastAsia="宋体" w:cs="Calibri"/>
      <w:kern w:val="2"/>
      <w:sz w:val="21"/>
      <w:szCs w:val="24"/>
      <w:lang w:val="en-US" w:eastAsia="zh-CN" w:bidi="ar"/>
    </w:rPr>
  </w:style>
  <w:style w:type="character" w:customStyle="1" w:styleId="12">
    <w:name w:val="标题 2 Char"/>
    <w:basedOn w:val="9"/>
    <w:link w:val="2"/>
    <w:qFormat/>
    <w:uiPriority w:val="0"/>
    <w:rPr>
      <w:rFonts w:hint="eastAsia" w:ascii="宋体" w:hAnsi="宋体" w:eastAsia="宋体" w:cs="宋体"/>
      <w:b/>
      <w:sz w:val="36"/>
      <w:szCs w:val="36"/>
    </w:rPr>
  </w:style>
  <w:style w:type="character" w:customStyle="1" w:styleId="13">
    <w:name w:val="页脚 Char"/>
    <w:basedOn w:val="9"/>
    <w:link w:val="5"/>
    <w:qFormat/>
    <w:uiPriority w:val="0"/>
    <w:rPr>
      <w:rFonts w:hint="default" w:ascii="Calibri" w:hAnsi="Calibri" w:eastAsia="宋体" w:cs="Calibri"/>
      <w:kern w:val="2"/>
      <w:sz w:val="18"/>
      <w:szCs w:val="24"/>
    </w:rPr>
  </w:style>
  <w:style w:type="character" w:customStyle="1" w:styleId="14">
    <w:name w:val="日期 Char"/>
    <w:basedOn w:val="9"/>
    <w:link w:val="4"/>
    <w:qFormat/>
    <w:uiPriority w:val="0"/>
    <w:rPr>
      <w:rFonts w:asciiTheme="minorHAnsi" w:hAnsiTheme="minorHAnsi" w:eastAsiaTheme="minorEastAsia" w:cstheme="minorBidi"/>
      <w:kern w:val="2"/>
      <w:sz w:val="21"/>
      <w:szCs w:val="24"/>
    </w:rPr>
  </w:style>
  <w:style w:type="paragraph" w:customStyle="1" w:styleId="15">
    <w:name w:val="Heading2"/>
    <w:basedOn w:val="1"/>
    <w:next w:val="1"/>
    <w:qFormat/>
    <w:uiPriority w:val="0"/>
    <w:pPr>
      <w:spacing w:before="100" w:beforeAutospacing="1" w:after="100" w:afterAutospacing="1"/>
    </w:pPr>
    <w:rPr>
      <w:rFonts w:ascii="宋体" w:hAnsi="宋体" w:eastAsia="宋体"/>
      <w:b/>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7</Pages>
  <Words>2421</Words>
  <Characters>2513</Characters>
  <Lines>5</Lines>
  <Paragraphs>1</Paragraphs>
  <TotalTime>0</TotalTime>
  <ScaleCrop>false</ScaleCrop>
  <LinksUpToDate>false</LinksUpToDate>
  <CharactersWithSpaces>2728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2020-08-07T02:56:00Z</dcterms:created>
  <dc:creator>Administrator</dc:creator>
  <cp:lastModifiedBy>星</cp:lastModifiedBy>
  <cp:lastPrinted>2023-02-03T08:32:00Z</cp:lastPrinted>
  <dcterms:modified xsi:type="dcterms:W3CDTF">2023-09-28T06:58:43Z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E0EC6ED2A7F241878C1359C89CD20F83</vt:lpwstr>
  </property>
</Properties>
</file>