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0" w:rightFromText="180" w:vertAnchor="text" w:horzAnchor="page" w:tblpX="963" w:tblpY="491"/>
        <w:tblOverlap w:val="never"/>
        <w:tblW w:w="10155" w:type="dxa"/>
        <w:tblCellSpacing w:w="0" w:type="dxa"/>
        <w:tblInd w:w="0" w:type="dxa"/>
        <w:tblLayout w:type="fixed"/>
        <w:tblCellMar>
          <w:top w:w="0" w:type="dxa"/>
          <w:left w:w="0" w:type="dxa"/>
          <w:bottom w:w="0" w:type="dxa"/>
          <w:right w:w="0" w:type="dxa"/>
        </w:tblCellMar>
      </w:tblPr>
      <w:tblGrid>
        <w:gridCol w:w="10155"/>
      </w:tblGrid>
      <w:tr>
        <w:tblPrEx>
          <w:tblLayout w:type="fixed"/>
          <w:tblCellMar>
            <w:top w:w="0" w:type="dxa"/>
            <w:left w:w="0" w:type="dxa"/>
            <w:bottom w:w="0" w:type="dxa"/>
            <w:right w:w="0" w:type="dxa"/>
          </w:tblCellMar>
        </w:tblPrEx>
        <w:trPr>
          <w:trHeight w:val="5998" w:hRule="atLeast"/>
          <w:tblCellSpacing w:w="0" w:type="dxa"/>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8</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8"/>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134"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关于进一步规范县城景观花盆摆置的提案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r>
                    <w:rPr>
                      <w:rFonts w:hint="eastAsia" w:ascii="仿宋_GB2312" w:hAnsi="仿宋_GB2312" w:eastAsia="仿宋_GB2312" w:cs="仿宋_GB2312"/>
                      <w:b w:val="0"/>
                      <w:bCs/>
                      <w:color w:val="000000"/>
                      <w:kern w:val="0"/>
                      <w:sz w:val="28"/>
                      <w:szCs w:val="28"/>
                      <w:lang w:val="en-US" w:eastAsia="zh-CN"/>
                    </w:rPr>
                    <w:t>委员联络和学习委员会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黄燕霞</w:t>
                  </w:r>
                  <w:bookmarkStart w:id="1" w:name="_GoBack"/>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0"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rightChars="0" w:firstLine="280" w:firstLineChars="1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0" w:name="OLE_LINK1"/>
                  <w:r>
                    <w:rPr>
                      <w:rFonts w:hint="eastAsia" w:ascii="仿宋_GB2312" w:eastAsia="仿宋_GB2312"/>
                      <w:b w:val="0"/>
                      <w:bCs/>
                      <w:color w:val="000000" w:themeColor="text1"/>
                      <w:sz w:val="28"/>
                      <w:szCs w:val="28"/>
                      <w:lang w:val="en-US" w:eastAsia="zh-CN"/>
                      <w14:textFill>
                        <w14:solidFill>
                          <w14:schemeClr w14:val="tx1"/>
                        </w14:solidFill>
                      </w14:textFill>
                    </w:rPr>
                    <w:t>县住房城乡建设局</w:t>
                  </w:r>
                  <w:bookmarkEnd w:id="0"/>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pStyle w:val="4"/>
        <w:keepNext w:val="0"/>
        <w:keepLines w:val="0"/>
        <w:pageBreakBefore w:val="0"/>
        <w:widowControl w:val="0"/>
        <w:kinsoku/>
        <w:wordWrap/>
        <w:overflowPunct/>
        <w:topLinePunct w:val="0"/>
        <w:autoSpaceDE w:val="0"/>
        <w:autoSpaceDN w:val="0"/>
        <w:bidi w:val="0"/>
        <w:adjustRightInd/>
        <w:snapToGrid/>
        <w:spacing w:beforeAutospacing="0" w:afterAutospacing="0" w:line="560" w:lineRule="exact"/>
        <w:ind w:left="0" w:leftChars="0" w:right="527" w:firstLine="640" w:firstLineChars="20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当前，我县认真贯彻落实习近平总书记生态文明思想，同全省全市一起认真落实《云南省城乡绿化美化三年行动（2022-2024年）》要求，按照“美丽中国、绿美云南、醉美临沧”的奋斗目标，围绕“花园临翔、绿能云县、滇红凤庆、果香永德、边美镇康、秘境沧源、茶香双江”的建设目标，绿美沧源正在如火如荼的建设中。从我县的建设情况及一部分干部群众的反映来看,在建设过程中，仍然存在一些不容忽视的问题，需要在下步工作中研究解决。</w:t>
      </w:r>
    </w:p>
    <w:p>
      <w:pPr>
        <w:pStyle w:val="4"/>
        <w:keepNext w:val="0"/>
        <w:keepLines w:val="0"/>
        <w:pageBreakBefore w:val="0"/>
        <w:widowControl w:val="0"/>
        <w:numPr>
          <w:ilvl w:val="0"/>
          <w:numId w:val="0"/>
        </w:numPr>
        <w:kinsoku/>
        <w:wordWrap/>
        <w:overflowPunct/>
        <w:topLinePunct w:val="0"/>
        <w:autoSpaceDE w:val="0"/>
        <w:autoSpaceDN w:val="0"/>
        <w:bidi w:val="0"/>
        <w:adjustRightInd/>
        <w:snapToGrid/>
        <w:spacing w:beforeAutospacing="0" w:afterAutospacing="0" w:line="560" w:lineRule="exact"/>
        <w:ind w:leftChars="200" w:right="527" w:rightChars="0" w:firstLine="320" w:firstLineChars="100"/>
        <w:jc w:val="both"/>
        <w:textAlignment w:val="auto"/>
        <w:outlineLvl w:val="9"/>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一、存在问题</w:t>
      </w:r>
    </w:p>
    <w:p>
      <w:pPr>
        <w:pStyle w:val="4"/>
        <w:keepNext w:val="0"/>
        <w:keepLines w:val="0"/>
        <w:pageBreakBefore w:val="0"/>
        <w:widowControl w:val="0"/>
        <w:numPr>
          <w:ilvl w:val="0"/>
          <w:numId w:val="0"/>
        </w:numPr>
        <w:kinsoku/>
        <w:wordWrap/>
        <w:overflowPunct/>
        <w:topLinePunct w:val="0"/>
        <w:autoSpaceDE w:val="0"/>
        <w:autoSpaceDN w:val="0"/>
        <w:bidi w:val="0"/>
        <w:adjustRightInd/>
        <w:snapToGrid/>
        <w:spacing w:beforeAutospacing="0" w:afterAutospacing="0" w:line="560" w:lineRule="exact"/>
        <w:ind w:right="527" w:rightChars="0" w:firstLine="643" w:firstLineChars="20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部分路段的花盆位置摆放不恰当。在绿美沧源建设中，部分路段花盆摆放给广大行人造成了不便，激起了不满。如，司岗里大道与来希路红绿灯交叉路口（加林赛酒店前红绿灯路口）处，中间和周边行人站台上除盲人道外全部摆满花盆，此路段人流量较大，经过学生人数较多，花盆的摆放使行人无法在站台的有利位置上等待红绿灯，给行人特别是残障人士、老人、小孩通过时造成了极大的妨碍和不便。再如，街心花园（百大一店对面）路段，部分花盆摆放紧贴停车位，导致车子停入停车位后驾驶员无法下车，需将车子往路中间移出一定距离后，才能下车，这样既不方便也不安全。（附图片）。</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花卉护理作业不够灵活实际。下雨天还在对花卉、绿植浇水，浪费人力物力财力。</w:t>
      </w:r>
    </w:p>
    <w:p>
      <w:pPr>
        <w:numPr>
          <w:ilvl w:val="0"/>
          <w:numId w:val="0"/>
        </w:numPr>
        <w:spacing w:line="540" w:lineRule="exact"/>
        <w:ind w:firstLine="640" w:firstLineChars="200"/>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二、意见建议</w:t>
      </w:r>
    </w:p>
    <w:p>
      <w:pPr>
        <w:numPr>
          <w:ilvl w:val="0"/>
          <w:numId w:val="0"/>
        </w:numPr>
        <w:spacing w:line="54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全面优化花盆摆放布局。在突出花美的同时也要确保人民群众的出行安全和方便，确保党委政府的决策部署转化为人民群众的共同意识和美好愿望，不断提升人民群众的幸福感和满意度。</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结合实际谋划特色。花卉种植应不要刻意追求花品的稀少和品种的繁多，花卉种植应结合我县地理气候特点、花卉后期护理实际及突出我县特色等方面来考虑，在统一谋划布局下以突显我县在绿美建设中的独特美和优势美为突破口，以栽种易活易护理花卉为主，降本提效突出特色，避免与其他县同出一辙、千篇一律。</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灵活开展花卉护理作业。在固定护理模式上，结合实际科学灵活开展花卉护理，</w:t>
      </w:r>
      <w:r>
        <w:rPr>
          <w:rFonts w:hint="eastAsia" w:ascii="仿宋_GB2312" w:hAnsi="仿宋_GB2312" w:eastAsia="仿宋_GB2312" w:cs="仿宋_GB2312"/>
          <w:sz w:val="32"/>
          <w:szCs w:val="32"/>
        </w:rPr>
        <w:t>提升护理效率。</w:t>
      </w:r>
    </w:p>
    <w:p>
      <w:pPr>
        <w:spacing w:line="590" w:lineRule="exact"/>
        <w:ind w:firstLine="6086" w:firstLineChars="1902"/>
        <w:rPr>
          <w:rFonts w:ascii="仿宋_GB2312" w:hAnsi="仿宋_GB2312" w:eastAsia="仿宋_GB2312" w:cs="仿宋_GB2312"/>
          <w:sz w:val="32"/>
          <w:szCs w:val="32"/>
        </w:rPr>
      </w:pPr>
    </w:p>
    <w:p>
      <w:pPr>
        <w:spacing w:line="59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drawing>
          <wp:anchor distT="0" distB="0" distL="114300" distR="114300" simplePos="0" relativeHeight="251661312" behindDoc="0" locked="0" layoutInCell="1" allowOverlap="1">
            <wp:simplePos x="0" y="0"/>
            <wp:positionH relativeFrom="column">
              <wp:posOffset>2919095</wp:posOffset>
            </wp:positionH>
            <wp:positionV relativeFrom="paragraph">
              <wp:posOffset>50165</wp:posOffset>
            </wp:positionV>
            <wp:extent cx="2661920" cy="2884170"/>
            <wp:effectExtent l="0" t="0" r="5080" b="11430"/>
            <wp:wrapNone/>
            <wp:docPr id="4" name="图片 4" descr="052b94380576a8685d8cbe479a553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052b94380576a8685d8cbe479a553dc"/>
                    <pic:cNvPicPr>
                      <a:picLocks noChangeAspect="1"/>
                    </pic:cNvPicPr>
                  </pic:nvPicPr>
                  <pic:blipFill>
                    <a:blip r:embed="rId6"/>
                    <a:stretch>
                      <a:fillRect/>
                    </a:stretch>
                  </pic:blipFill>
                  <pic:spPr>
                    <a:xfrm>
                      <a:off x="0" y="0"/>
                      <a:ext cx="2661920" cy="2884170"/>
                    </a:xfrm>
                    <a:prstGeom prst="rect">
                      <a:avLst/>
                    </a:prstGeom>
                  </pic:spPr>
                </pic:pic>
              </a:graphicData>
            </a:graphic>
          </wp:anchor>
        </w:drawing>
      </w:r>
      <w:r>
        <w:rPr>
          <w:rFonts w:ascii="仿宋_GB2312" w:hAnsi="仿宋_GB2312" w:eastAsia="仿宋_GB2312" w:cs="仿宋_GB2312"/>
          <w:sz w:val="32"/>
          <w:szCs w:val="32"/>
        </w:rPr>
        <w:drawing>
          <wp:anchor distT="0" distB="0" distL="114300" distR="114300" simplePos="0" relativeHeight="251660288" behindDoc="0" locked="0" layoutInCell="1" allowOverlap="1">
            <wp:simplePos x="0" y="0"/>
            <wp:positionH relativeFrom="column">
              <wp:posOffset>-52070</wp:posOffset>
            </wp:positionH>
            <wp:positionV relativeFrom="paragraph">
              <wp:posOffset>97790</wp:posOffset>
            </wp:positionV>
            <wp:extent cx="2583180" cy="2842260"/>
            <wp:effectExtent l="0" t="0" r="7620" b="15240"/>
            <wp:wrapNone/>
            <wp:docPr id="3" name="图片 3" descr="5f92908f2bcc9bccb254f9e61166f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f92908f2bcc9bccb254f9e61166f43"/>
                    <pic:cNvPicPr>
                      <a:picLocks noChangeAspect="1"/>
                    </pic:cNvPicPr>
                  </pic:nvPicPr>
                  <pic:blipFill>
                    <a:blip r:embed="rId7"/>
                    <a:stretch>
                      <a:fillRect/>
                    </a:stretch>
                  </pic:blipFill>
                  <pic:spPr>
                    <a:xfrm>
                      <a:off x="0" y="0"/>
                      <a:ext cx="2583180" cy="2842260"/>
                    </a:xfrm>
                    <a:prstGeom prst="rect">
                      <a:avLst/>
                    </a:prstGeom>
                  </pic:spPr>
                </pic:pic>
              </a:graphicData>
            </a:graphic>
          </wp:anchor>
        </w:drawing>
      </w:r>
    </w:p>
    <w:p>
      <w:pPr>
        <w:spacing w:line="590" w:lineRule="exact"/>
        <w:rPr>
          <w:rFonts w:ascii="仿宋_GB2312" w:hAnsi="仿宋_GB2312" w:eastAsia="仿宋_GB2312" w:cs="仿宋_GB2312"/>
          <w:sz w:val="32"/>
          <w:szCs w:val="32"/>
        </w:rPr>
      </w:pPr>
    </w:p>
    <w:p>
      <w:pPr>
        <w:spacing w:line="590" w:lineRule="exact"/>
        <w:rPr>
          <w:rFonts w:ascii="仿宋_GB2312" w:hAnsi="仿宋_GB2312" w:eastAsia="仿宋_GB2312" w:cs="仿宋_GB2312"/>
          <w:sz w:val="32"/>
          <w:szCs w:val="32"/>
        </w:rPr>
      </w:pPr>
    </w:p>
    <w:p>
      <w:pPr>
        <w:spacing w:line="590" w:lineRule="exact"/>
        <w:rPr>
          <w:rFonts w:ascii="仿宋_GB2312" w:hAnsi="仿宋_GB2312" w:eastAsia="仿宋_GB2312" w:cs="仿宋_GB2312"/>
          <w:sz w:val="32"/>
          <w:szCs w:val="32"/>
        </w:rPr>
      </w:pPr>
    </w:p>
    <w:p>
      <w:pPr>
        <w:spacing w:line="580" w:lineRule="exact"/>
        <w:rPr>
          <w:rFonts w:ascii="仿宋_GB2312" w:eastAsia="仿宋_GB2312"/>
          <w:color w:val="000000"/>
          <w:sz w:val="30"/>
          <w:szCs w:val="30"/>
          <w:u w:val="single"/>
        </w:rPr>
      </w:pPr>
    </w:p>
    <w:p>
      <w:pPr>
        <w:spacing w:line="580" w:lineRule="exact"/>
        <w:rPr>
          <w:rFonts w:ascii="仿宋_GB2312" w:eastAsia="仿宋_GB2312"/>
          <w:color w:val="000000"/>
          <w:sz w:val="30"/>
          <w:szCs w:val="30"/>
          <w:u w:val="dotted"/>
        </w:rPr>
      </w:pPr>
    </w:p>
    <w:p>
      <w:pPr>
        <w:spacing w:line="580" w:lineRule="exact"/>
        <w:rPr>
          <w:rFonts w:ascii="仿宋_GB2312" w:eastAsia="仿宋_GB2312"/>
          <w:color w:val="000000"/>
          <w:sz w:val="30"/>
          <w:szCs w:val="30"/>
          <w:u w:val="dotted"/>
        </w:rPr>
      </w:pPr>
    </w:p>
    <w:p>
      <w:pPr>
        <w:spacing w:line="580" w:lineRule="exact"/>
        <w:rPr>
          <w:rFonts w:ascii="仿宋_GB2312" w:eastAsia="仿宋_GB2312"/>
          <w:color w:val="000000"/>
          <w:sz w:val="30"/>
          <w:szCs w:val="30"/>
          <w:u w:val="dotted"/>
        </w:rPr>
      </w:pPr>
    </w:p>
    <w:p/>
    <w:p>
      <w:pPr>
        <w:pStyle w:val="4"/>
        <w:keepNext w:val="0"/>
        <w:keepLines w:val="0"/>
        <w:pageBreakBefore w:val="0"/>
        <w:widowControl w:val="0"/>
        <w:kinsoku/>
        <w:wordWrap/>
        <w:overflowPunct/>
        <w:topLinePunct w:val="0"/>
        <w:autoSpaceDE w:val="0"/>
        <w:autoSpaceDN w:val="0"/>
        <w:bidi w:val="0"/>
        <w:adjustRightInd/>
        <w:snapToGrid/>
        <w:spacing w:beforeAutospacing="0" w:afterAutospacing="0" w:line="560" w:lineRule="exact"/>
        <w:ind w:left="0" w:leftChars="0" w:right="527" w:firstLine="640" w:firstLineChars="20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p>
    <w:p>
      <w:pPr>
        <w:pStyle w:val="2"/>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A743EA"/>
    <w:rsid w:val="076965B7"/>
    <w:rsid w:val="0A7A2769"/>
    <w:rsid w:val="0AAD6754"/>
    <w:rsid w:val="0B160942"/>
    <w:rsid w:val="0D0F4610"/>
    <w:rsid w:val="0DA371F4"/>
    <w:rsid w:val="0E8057DD"/>
    <w:rsid w:val="0F7059B4"/>
    <w:rsid w:val="1008631B"/>
    <w:rsid w:val="10ED2F8B"/>
    <w:rsid w:val="140204C6"/>
    <w:rsid w:val="14C6258B"/>
    <w:rsid w:val="15AD5E66"/>
    <w:rsid w:val="1A084E49"/>
    <w:rsid w:val="1A647454"/>
    <w:rsid w:val="1C8F3EBA"/>
    <w:rsid w:val="25EB5FF3"/>
    <w:rsid w:val="27054F8F"/>
    <w:rsid w:val="29235BE1"/>
    <w:rsid w:val="296F4C61"/>
    <w:rsid w:val="2A0216DA"/>
    <w:rsid w:val="30ED5793"/>
    <w:rsid w:val="32240BD7"/>
    <w:rsid w:val="33D45A51"/>
    <w:rsid w:val="340348D5"/>
    <w:rsid w:val="34463354"/>
    <w:rsid w:val="347F7FC2"/>
    <w:rsid w:val="396F6689"/>
    <w:rsid w:val="39BF08FB"/>
    <w:rsid w:val="3AC97575"/>
    <w:rsid w:val="3B9E5DC2"/>
    <w:rsid w:val="3BD13DC1"/>
    <w:rsid w:val="3CF04625"/>
    <w:rsid w:val="3D0A0D20"/>
    <w:rsid w:val="3E6C5128"/>
    <w:rsid w:val="3E9F29DA"/>
    <w:rsid w:val="42664DBF"/>
    <w:rsid w:val="44BD142A"/>
    <w:rsid w:val="48AA1927"/>
    <w:rsid w:val="495E07B2"/>
    <w:rsid w:val="4A2F03DC"/>
    <w:rsid w:val="4E482C6D"/>
    <w:rsid w:val="4EB26E94"/>
    <w:rsid w:val="4F56346E"/>
    <w:rsid w:val="51EF171A"/>
    <w:rsid w:val="52433AE8"/>
    <w:rsid w:val="53FF1052"/>
    <w:rsid w:val="563A3CF5"/>
    <w:rsid w:val="578C1B02"/>
    <w:rsid w:val="58B871B9"/>
    <w:rsid w:val="58D8586A"/>
    <w:rsid w:val="59C010DC"/>
    <w:rsid w:val="5B14230E"/>
    <w:rsid w:val="5B6404A1"/>
    <w:rsid w:val="5DFF4ECA"/>
    <w:rsid w:val="660E7AF5"/>
    <w:rsid w:val="67375A79"/>
    <w:rsid w:val="67DE27C7"/>
    <w:rsid w:val="68001640"/>
    <w:rsid w:val="68154A26"/>
    <w:rsid w:val="6B445782"/>
    <w:rsid w:val="6C9A07F8"/>
    <w:rsid w:val="6F5A4E70"/>
    <w:rsid w:val="6F98396B"/>
    <w:rsid w:val="70CD0359"/>
    <w:rsid w:val="710E2AC1"/>
    <w:rsid w:val="714825F2"/>
    <w:rsid w:val="71C2108D"/>
    <w:rsid w:val="72F9365A"/>
    <w:rsid w:val="75EE4A6C"/>
    <w:rsid w:val="77555D0B"/>
    <w:rsid w:val="776E1353"/>
    <w:rsid w:val="784D3578"/>
    <w:rsid w:val="7B1E5AE4"/>
    <w:rsid w:val="7C3A294E"/>
    <w:rsid w:val="7FAC0CF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Body Text"/>
    <w:basedOn w:val="1"/>
    <w:qFormat/>
    <w:uiPriority w:val="0"/>
    <w:rPr>
      <w:rFonts w:ascii="Arial Unicode MS" w:hAnsi="Arial Unicode MS" w:eastAsia="Arial Unicode MS" w:cs="Arial Unicode MS"/>
      <w:sz w:val="32"/>
      <w:szCs w:val="32"/>
      <w:lang w:val="zh-CN" w:eastAsia="zh-CN" w:bidi="zh-C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1058</Words>
  <Characters>1095</Characters>
  <Lines>0</Lines>
  <Paragraphs>0</Paragraphs>
  <ScaleCrop>false</ScaleCrop>
  <LinksUpToDate>false</LinksUpToDate>
  <CharactersWithSpaces>1127</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2024-02-06T07:34:18Z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