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7D066">
      <w:pPr>
        <w:spacing w:before="104" w:line="224" w:lineRule="auto"/>
        <w:ind w:left="619"/>
        <w:rPr>
          <w:rFonts w:hint="default" w:ascii="黑体" w:hAnsi="黑体" w:eastAsia="黑体" w:cs="黑体"/>
          <w:spacing w:val="8"/>
          <w:sz w:val="32"/>
          <w:szCs w:val="32"/>
          <w:lang w:val="en-US" w:eastAsia="zh-CN"/>
        </w:rPr>
      </w:pPr>
      <w:r>
        <w:rPr>
          <w:rFonts w:hint="eastAsia" w:ascii="黑体" w:hAnsi="黑体" w:eastAsia="黑体" w:cs="黑体"/>
          <w:spacing w:val="8"/>
          <w:sz w:val="32"/>
          <w:szCs w:val="32"/>
          <w:lang w:eastAsia="zh-CN"/>
        </w:rPr>
        <w:t>附件2</w:t>
      </w:r>
      <w:r>
        <w:rPr>
          <w:rFonts w:hint="eastAsia" w:ascii="黑体" w:hAnsi="黑体" w:eastAsia="黑体" w:cs="黑体"/>
          <w:spacing w:val="8"/>
          <w:sz w:val="32"/>
          <w:szCs w:val="32"/>
          <w:lang w:val="en-US" w:eastAsia="zh-CN"/>
        </w:rPr>
        <w:t>-2</w:t>
      </w:r>
    </w:p>
    <w:p w14:paraId="5F62AB53">
      <w:pPr>
        <w:widowControl w:val="0"/>
        <w:kinsoku/>
        <w:autoSpaceDE/>
        <w:autoSpaceDN/>
        <w:adjustRightInd/>
        <w:spacing w:line="317" w:lineRule="auto"/>
        <w:jc w:val="center"/>
        <w:textAlignment w:val="auto"/>
        <w:rPr>
          <w:rFonts w:ascii="方正小标宋简体" w:hAnsi="Times New Roman" w:eastAsia="方正小标宋简体" w:cs="Times New Roman"/>
          <w:snapToGrid/>
          <w:color w:val="FF0000"/>
          <w:kern w:val="2"/>
          <w:sz w:val="44"/>
          <w:szCs w:val="44"/>
          <w:lang w:eastAsia="zh-CN"/>
        </w:rPr>
      </w:pPr>
      <w:r>
        <w:rPr>
          <w:rFonts w:hint="eastAsia" w:ascii="方正小标宋简体" w:hAnsi="Times New Roman" w:eastAsia="方正小标宋简体" w:cs="Times New Roman"/>
          <w:snapToGrid/>
          <w:kern w:val="2"/>
          <w:sz w:val="44"/>
          <w:szCs w:val="44"/>
          <w:lang w:eastAsia="zh-CN"/>
        </w:rPr>
        <w:t>云南省</w:t>
      </w:r>
      <w:r>
        <w:rPr>
          <w:rFonts w:hint="eastAsia" w:ascii="方正小标宋简体" w:hAnsi="Times New Roman" w:eastAsia="方正小标宋简体" w:cs="Times New Roman"/>
          <w:snapToGrid/>
          <w:kern w:val="2"/>
          <w:sz w:val="44"/>
          <w:szCs w:val="44"/>
          <w:lang w:val="en-US" w:eastAsia="zh-CN"/>
        </w:rPr>
        <w:t>沧源佤族自治</w:t>
      </w:r>
      <w:r>
        <w:rPr>
          <w:rFonts w:hint="eastAsia" w:ascii="方正小标宋简体" w:hAnsi="Times New Roman" w:eastAsia="方正小标宋简体" w:cs="Times New Roman"/>
          <w:snapToGrid/>
          <w:kern w:val="2"/>
          <w:sz w:val="44"/>
          <w:szCs w:val="44"/>
          <w:lang w:eastAsia="zh-CN"/>
        </w:rPr>
        <w:t>县</w:t>
      </w:r>
      <w:r>
        <w:rPr>
          <w:rFonts w:hint="eastAsia" w:ascii="方正小标宋简体" w:hAnsi="Times New Roman" w:eastAsia="方正小标宋简体" w:cs="Times New Roman"/>
          <w:snapToGrid/>
          <w:kern w:val="2"/>
          <w:sz w:val="44"/>
          <w:szCs w:val="44"/>
          <w:lang w:val="en-US" w:eastAsia="zh-CN"/>
        </w:rPr>
        <w:t>单元网格雪茄烟</w:t>
      </w:r>
      <w:r>
        <w:rPr>
          <w:rFonts w:hint="eastAsia" w:ascii="方正小标宋简体" w:hAnsi="Times New Roman" w:eastAsia="方正小标宋简体" w:cs="Times New Roman"/>
          <w:snapToGrid/>
          <w:kern w:val="2"/>
          <w:sz w:val="44"/>
          <w:szCs w:val="44"/>
          <w:lang w:eastAsia="zh-CN"/>
        </w:rPr>
        <w:t>零售点合理布局公示表</w:t>
      </w:r>
    </w:p>
    <w:p w14:paraId="675379EC">
      <w:pPr>
        <w:kinsoku/>
        <w:autoSpaceDE/>
        <w:autoSpaceDN/>
        <w:adjustRightInd/>
        <w:snapToGrid/>
        <w:textAlignment w:val="auto"/>
        <w:rPr>
          <w:rFonts w:ascii="方正小标宋简体" w:hAnsi="Times New Roman" w:eastAsia="方正小标宋简体" w:cs="Times New Roman"/>
          <w:snapToGrid/>
          <w:color w:val="FF0000"/>
          <w:kern w:val="2"/>
          <w:sz w:val="32"/>
          <w:szCs w:val="32"/>
          <w:lang w:eastAsia="zh-CN"/>
        </w:rPr>
      </w:pPr>
      <w:r>
        <w:rPr>
          <w:rFonts w:hint="eastAsia" w:eastAsia="宋体"/>
          <w:lang w:eastAsia="zh-CN"/>
        </w:rPr>
        <w:t>单位：</w:t>
      </w:r>
      <w:r>
        <w:rPr>
          <w:rFonts w:hint="eastAsia"/>
          <w:lang w:val="en-US" w:eastAsia="zh-CN"/>
        </w:rPr>
        <w:t>沧源</w:t>
      </w:r>
      <w:r>
        <w:rPr>
          <w:rFonts w:hint="eastAsia" w:ascii="宋体" w:hAnsi="宋体" w:eastAsia="宋体" w:cs="宋体"/>
          <w:lang w:eastAsia="zh-CN"/>
        </w:rPr>
        <w:t>烟草专卖局</w:t>
      </w:r>
      <w:r>
        <w:rPr>
          <w:rFonts w:hint="eastAsia" w:eastAsia="宋体"/>
          <w:lang w:eastAsia="zh-CN"/>
        </w:rPr>
        <w:t>（盖章）                                                         公示时间：</w:t>
      </w:r>
      <w:r>
        <w:rPr>
          <w:rFonts w:hint="eastAsia"/>
          <w:lang w:val="en-US" w:eastAsia="zh-CN"/>
        </w:rPr>
        <w:t>2025</w:t>
      </w:r>
      <w:r>
        <w:rPr>
          <w:lang w:eastAsia="zh-CN"/>
        </w:rPr>
        <w:t>年</w:t>
      </w:r>
      <w:r>
        <w:rPr>
          <w:rFonts w:hint="eastAsia"/>
          <w:lang w:val="en-US" w:eastAsia="zh-CN"/>
        </w:rPr>
        <w:t>1</w:t>
      </w:r>
      <w:r>
        <w:rPr>
          <w:lang w:eastAsia="zh-CN"/>
        </w:rPr>
        <w:t>月</w:t>
      </w:r>
      <w:r>
        <w:rPr>
          <w:rFonts w:hint="eastAsia"/>
          <w:lang w:val="en-US" w:eastAsia="zh-CN"/>
        </w:rPr>
        <w:t>6</w:t>
      </w:r>
      <w:r>
        <w:rPr>
          <w:lang w:eastAsia="zh-CN"/>
        </w:rPr>
        <w:t>日</w:t>
      </w:r>
      <w:r>
        <w:rPr>
          <w:rFonts w:hint="eastAsia"/>
          <w:lang w:eastAsia="zh-CN"/>
        </w:rPr>
        <w:t>-</w:t>
      </w:r>
      <w:r>
        <w:rPr>
          <w:rFonts w:hint="eastAsia"/>
          <w:lang w:val="en-US" w:eastAsia="zh-CN"/>
        </w:rPr>
        <w:t>2025</w:t>
      </w:r>
      <w:r>
        <w:rPr>
          <w:lang w:eastAsia="zh-CN"/>
        </w:rPr>
        <w:t>年</w:t>
      </w:r>
      <w:r>
        <w:rPr>
          <w:rFonts w:hint="eastAsia"/>
          <w:lang w:val="en-US" w:eastAsia="zh-CN"/>
        </w:rPr>
        <w:t>3</w:t>
      </w:r>
      <w:r>
        <w:rPr>
          <w:lang w:eastAsia="zh-CN"/>
        </w:rPr>
        <w:t>月</w:t>
      </w:r>
      <w:r>
        <w:rPr>
          <w:rFonts w:hint="eastAsia"/>
          <w:lang w:val="en-US" w:eastAsia="zh-CN"/>
        </w:rPr>
        <w:t>7</w:t>
      </w:r>
      <w:r>
        <w:rPr>
          <w:lang w:eastAsia="zh-CN"/>
        </w:rPr>
        <w:t>日</w:t>
      </w:r>
    </w:p>
    <w:tbl>
      <w:tblPr>
        <w:tblStyle w:val="6"/>
        <w:tblpPr w:leftFromText="180" w:rightFromText="180" w:vertAnchor="text" w:horzAnchor="page" w:tblpX="882" w:tblpY="44"/>
        <w:tblOverlap w:val="never"/>
        <w:tblW w:w="15256" w:type="dxa"/>
        <w:tblInd w:w="0" w:type="dxa"/>
        <w:tblLayout w:type="fixed"/>
        <w:tblCellMar>
          <w:top w:w="0" w:type="dxa"/>
          <w:left w:w="108" w:type="dxa"/>
          <w:bottom w:w="0" w:type="dxa"/>
          <w:right w:w="108" w:type="dxa"/>
        </w:tblCellMar>
      </w:tblPr>
      <w:tblGrid>
        <w:gridCol w:w="936"/>
        <w:gridCol w:w="1637"/>
        <w:gridCol w:w="2442"/>
        <w:gridCol w:w="1090"/>
        <w:gridCol w:w="1131"/>
        <w:gridCol w:w="717"/>
        <w:gridCol w:w="900"/>
        <w:gridCol w:w="4462"/>
        <w:gridCol w:w="1225"/>
        <w:gridCol w:w="716"/>
      </w:tblGrid>
      <w:tr w14:paraId="0204D4DE">
        <w:tblPrEx>
          <w:tblCellMar>
            <w:top w:w="0" w:type="dxa"/>
            <w:left w:w="108" w:type="dxa"/>
            <w:bottom w:w="0" w:type="dxa"/>
            <w:right w:w="108" w:type="dxa"/>
          </w:tblCellMar>
        </w:tblPrEx>
        <w:trPr>
          <w:trHeight w:val="404"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4CB9">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名称</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FD98">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单元网格划分情况</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8662">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单元网格数量情况</w:t>
            </w:r>
          </w:p>
        </w:tc>
        <w:tc>
          <w:tcPr>
            <w:tcW w:w="5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5975">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单元网格距离情况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C103">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总量情况</w:t>
            </w:r>
          </w:p>
        </w:tc>
        <w:tc>
          <w:tcPr>
            <w:tcW w:w="716" w:type="dxa"/>
            <w:vMerge w:val="restart"/>
            <w:tcBorders>
              <w:top w:val="single" w:color="000000" w:sz="4" w:space="0"/>
              <w:left w:val="single" w:color="000000" w:sz="4" w:space="0"/>
              <w:right w:val="single" w:color="000000" w:sz="4" w:space="0"/>
            </w:tcBorders>
            <w:shd w:val="clear" w:color="auto" w:fill="auto"/>
            <w:noWrap/>
            <w:vAlign w:val="center"/>
          </w:tcPr>
          <w:p w14:paraId="248E4BF6">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备注</w:t>
            </w:r>
          </w:p>
        </w:tc>
      </w:tr>
      <w:tr w14:paraId="62E07E29">
        <w:tblPrEx>
          <w:tblCellMar>
            <w:top w:w="0" w:type="dxa"/>
            <w:left w:w="108" w:type="dxa"/>
            <w:bottom w:w="0" w:type="dxa"/>
            <w:right w:w="108" w:type="dxa"/>
          </w:tblCellMar>
        </w:tblPrEx>
        <w:trPr>
          <w:trHeight w:val="670" w:hRule="atLeast"/>
        </w:trPr>
        <w:tc>
          <w:tcPr>
            <w:tcW w:w="936" w:type="dxa"/>
            <w:vMerge w:val="restart"/>
            <w:tcBorders>
              <w:top w:val="single" w:color="000000" w:sz="4" w:space="0"/>
              <w:left w:val="single" w:color="000000" w:sz="4" w:space="0"/>
              <w:right w:val="single" w:color="000000" w:sz="4" w:space="0"/>
            </w:tcBorders>
            <w:shd w:val="clear" w:color="auto" w:fill="auto"/>
            <w:vAlign w:val="center"/>
          </w:tcPr>
          <w:p w14:paraId="0E66FA7B">
            <w:pPr>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沧源佤族治县</w:t>
            </w:r>
          </w:p>
          <w:p w14:paraId="203038FD">
            <w:pPr>
              <w:jc w:val="center"/>
              <w:rPr>
                <w:rFonts w:ascii="宋体" w:hAnsi="宋体" w:eastAsia="宋体" w:cs="宋体"/>
                <w:snapToGrid w:val="0"/>
                <w:color w:val="auto"/>
                <w:sz w:val="22"/>
                <w:szCs w:val="22"/>
                <w:lang w:val="en-US" w:eastAsia="en-US" w:bidi="ar-SA"/>
              </w:rPr>
            </w:pPr>
          </w:p>
          <w:p w14:paraId="432DAD75">
            <w:pPr>
              <w:jc w:val="both"/>
              <w:rPr>
                <w:rFonts w:ascii="宋体" w:hAnsi="宋体" w:eastAsia="宋体" w:cs="宋体"/>
                <w:snapToGrid w:val="0"/>
                <w:color w:val="auto"/>
                <w:sz w:val="22"/>
                <w:szCs w:val="22"/>
                <w:lang w:val="en-US" w:eastAsia="en-US" w:bidi="ar-SA"/>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EC26">
            <w:pPr>
              <w:jc w:val="center"/>
              <w:textAlignment w:val="center"/>
              <w:rPr>
                <w:rFonts w:ascii="宋体" w:hAnsi="宋体" w:eastAsia="宋体" w:cs="宋体"/>
                <w:b/>
                <w:bCs/>
                <w:color w:val="auto"/>
                <w:sz w:val="21"/>
                <w:szCs w:val="21"/>
              </w:rPr>
            </w:pPr>
            <w:r>
              <w:rPr>
                <w:rFonts w:hint="eastAsia" w:ascii="宋体" w:hAnsi="宋体" w:eastAsia="宋体" w:cs="宋体"/>
                <w:b/>
                <w:bCs/>
                <w:color w:val="auto"/>
                <w:sz w:val="21"/>
                <w:szCs w:val="21"/>
                <w:lang w:eastAsia="zh-CN" w:bidi="ar"/>
              </w:rPr>
              <w:t>名称</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1F68">
            <w:pPr>
              <w:jc w:val="center"/>
              <w:textAlignment w:val="center"/>
              <w:rPr>
                <w:rFonts w:ascii="宋体" w:hAnsi="宋体" w:eastAsia="宋体" w:cs="宋体"/>
                <w:b/>
                <w:bCs/>
                <w:color w:val="auto"/>
                <w:sz w:val="21"/>
                <w:szCs w:val="21"/>
              </w:rPr>
            </w:pPr>
            <w:r>
              <w:rPr>
                <w:rFonts w:hint="eastAsia" w:ascii="宋体" w:hAnsi="宋体" w:eastAsia="宋体" w:cs="宋体"/>
                <w:b/>
                <w:bCs/>
                <w:color w:val="auto"/>
                <w:sz w:val="21"/>
                <w:szCs w:val="21"/>
                <w:lang w:eastAsia="zh-CN" w:bidi="ar"/>
              </w:rPr>
              <w:t>区域描述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BC10">
            <w:pPr>
              <w:jc w:val="center"/>
              <w:textAlignment w:val="center"/>
              <w:rPr>
                <w:rFonts w:ascii="宋体" w:hAnsi="宋体" w:eastAsia="宋体" w:cs="宋体"/>
                <w:b/>
                <w:bCs/>
                <w:color w:val="auto"/>
                <w:sz w:val="21"/>
                <w:szCs w:val="21"/>
              </w:rPr>
            </w:pPr>
            <w:r>
              <w:rPr>
                <w:rFonts w:hint="eastAsia" w:ascii="宋体" w:hAnsi="宋体" w:eastAsia="宋体" w:cs="宋体"/>
                <w:b/>
                <w:bCs/>
                <w:color w:val="auto"/>
                <w:sz w:val="21"/>
                <w:szCs w:val="21"/>
                <w:lang w:eastAsia="zh-CN" w:bidi="ar"/>
              </w:rPr>
              <w:t>规划数（个）</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7F37">
            <w:pPr>
              <w:jc w:val="center"/>
              <w:textAlignment w:val="center"/>
              <w:rPr>
                <w:rFonts w:ascii="宋体" w:hAnsi="宋体" w:eastAsia="宋体" w:cs="宋体"/>
                <w:b/>
                <w:bCs/>
                <w:color w:val="auto"/>
                <w:sz w:val="21"/>
                <w:szCs w:val="21"/>
              </w:rPr>
            </w:pPr>
            <w:r>
              <w:rPr>
                <w:rFonts w:hint="eastAsia" w:ascii="宋体" w:hAnsi="宋体" w:eastAsia="宋体" w:cs="宋体"/>
                <w:b/>
                <w:bCs/>
                <w:color w:val="auto"/>
                <w:sz w:val="21"/>
                <w:szCs w:val="21"/>
                <w:lang w:eastAsia="zh-CN" w:bidi="ar"/>
              </w:rPr>
              <w:t>当前实际数（个）</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2CD0">
            <w:pPr>
              <w:jc w:val="center"/>
              <w:textAlignment w:val="center"/>
              <w:rPr>
                <w:rFonts w:ascii="宋体" w:hAnsi="宋体" w:eastAsia="宋体" w:cs="宋体"/>
                <w:b/>
                <w:bCs/>
                <w:color w:val="auto"/>
                <w:sz w:val="21"/>
                <w:szCs w:val="21"/>
              </w:rPr>
            </w:pPr>
            <w:r>
              <w:rPr>
                <w:rFonts w:hint="eastAsia" w:ascii="宋体" w:hAnsi="宋体" w:eastAsia="宋体" w:cs="宋体"/>
                <w:b/>
                <w:bCs/>
                <w:color w:val="auto"/>
                <w:sz w:val="21"/>
                <w:szCs w:val="21"/>
                <w:lang w:eastAsia="zh-CN" w:bidi="ar"/>
              </w:rPr>
              <w:t>余量（个）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D426">
            <w:pPr>
              <w:jc w:val="center"/>
              <w:textAlignment w:val="center"/>
              <w:rPr>
                <w:rFonts w:ascii="宋体" w:hAnsi="宋体" w:eastAsia="宋体" w:cs="宋体"/>
                <w:b/>
                <w:bCs/>
                <w:color w:val="auto"/>
                <w:sz w:val="21"/>
                <w:szCs w:val="21"/>
                <w:lang w:eastAsia="zh-CN" w:bidi="ar"/>
              </w:rPr>
            </w:pPr>
            <w:r>
              <w:rPr>
                <w:rFonts w:hint="eastAsia" w:ascii="宋体" w:hAnsi="宋体" w:eastAsia="宋体" w:cs="宋体"/>
                <w:b/>
                <w:bCs/>
                <w:color w:val="auto"/>
                <w:sz w:val="21"/>
                <w:szCs w:val="21"/>
                <w:lang w:eastAsia="zh-CN" w:bidi="ar"/>
              </w:rPr>
              <w:t>零售点间距</w:t>
            </w:r>
          </w:p>
          <w:p w14:paraId="62C66C33">
            <w:pPr>
              <w:jc w:val="center"/>
              <w:textAlignment w:val="center"/>
              <w:rPr>
                <w:rFonts w:ascii="宋体" w:hAnsi="宋体" w:eastAsia="宋体" w:cs="宋体"/>
                <w:b/>
                <w:bCs/>
                <w:color w:val="auto"/>
                <w:sz w:val="21"/>
                <w:szCs w:val="21"/>
              </w:rPr>
            </w:pPr>
            <w:r>
              <w:rPr>
                <w:rFonts w:hint="eastAsia" w:ascii="宋体" w:hAnsi="宋体" w:eastAsia="宋体" w:cs="宋体"/>
                <w:b/>
                <w:bCs/>
                <w:color w:val="auto"/>
                <w:sz w:val="21"/>
                <w:szCs w:val="21"/>
                <w:lang w:eastAsia="zh-CN" w:bidi="ar"/>
              </w:rPr>
              <w:t>（米）</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DBC8">
            <w:pPr>
              <w:jc w:val="center"/>
              <w:textAlignment w:val="center"/>
              <w:rPr>
                <w:rFonts w:ascii="宋体" w:hAnsi="宋体" w:eastAsia="宋体" w:cs="宋体"/>
                <w:b/>
                <w:bCs/>
                <w:color w:val="auto"/>
                <w:sz w:val="21"/>
                <w:szCs w:val="21"/>
              </w:rPr>
            </w:pPr>
            <w:r>
              <w:rPr>
                <w:rFonts w:hint="eastAsia" w:ascii="宋体" w:hAnsi="宋体" w:eastAsia="宋体" w:cs="宋体"/>
                <w:b/>
                <w:bCs/>
                <w:color w:val="auto"/>
                <w:sz w:val="21"/>
                <w:szCs w:val="21"/>
                <w:lang w:eastAsia="zh-CN" w:bidi="ar"/>
              </w:rPr>
              <w:t>其他条件描述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8025">
            <w:pPr>
              <w:jc w:val="center"/>
              <w:textAlignment w:val="center"/>
              <w:rPr>
                <w:rFonts w:ascii="宋体" w:hAnsi="宋体" w:eastAsia="宋体" w:cs="宋体"/>
                <w:b/>
                <w:bCs/>
                <w:color w:val="auto"/>
                <w:sz w:val="21"/>
                <w:szCs w:val="21"/>
                <w:lang w:eastAsia="zh-CN" w:bidi="ar"/>
              </w:rPr>
            </w:pPr>
            <w:r>
              <w:rPr>
                <w:rFonts w:hint="eastAsia" w:ascii="宋体" w:hAnsi="宋体" w:eastAsia="宋体" w:cs="宋体"/>
                <w:b/>
                <w:bCs/>
                <w:color w:val="auto"/>
                <w:sz w:val="21"/>
                <w:szCs w:val="21"/>
                <w:lang w:val="en-US" w:eastAsia="zh-CN" w:bidi="ar"/>
              </w:rPr>
              <w:t>沧源佤族自治县</w:t>
            </w:r>
            <w:r>
              <w:rPr>
                <w:rFonts w:hint="eastAsia" w:ascii="宋体" w:hAnsi="宋体" w:eastAsia="宋体" w:cs="宋体"/>
                <w:b/>
                <w:bCs/>
                <w:color w:val="auto"/>
                <w:sz w:val="21"/>
                <w:szCs w:val="21"/>
                <w:lang w:eastAsia="zh-CN" w:bidi="ar"/>
              </w:rPr>
              <w:t>总量规划数</w:t>
            </w:r>
          </w:p>
          <w:p w14:paraId="6D45C1E9">
            <w:pPr>
              <w:jc w:val="center"/>
              <w:textAlignment w:val="center"/>
              <w:rPr>
                <w:rFonts w:ascii="宋体" w:hAnsi="宋体" w:eastAsia="宋体" w:cs="宋体"/>
                <w:b/>
                <w:bCs/>
                <w:color w:val="auto"/>
                <w:sz w:val="21"/>
                <w:szCs w:val="21"/>
              </w:rPr>
            </w:pPr>
            <w:r>
              <w:rPr>
                <w:rFonts w:hint="eastAsia" w:ascii="宋体" w:hAnsi="宋体" w:eastAsia="宋体" w:cs="宋体"/>
                <w:b/>
                <w:bCs/>
                <w:color w:val="auto"/>
                <w:sz w:val="21"/>
                <w:szCs w:val="21"/>
                <w:lang w:eastAsia="zh-CN" w:bidi="ar"/>
              </w:rPr>
              <w:t>（个）</w:t>
            </w:r>
          </w:p>
        </w:tc>
        <w:tc>
          <w:tcPr>
            <w:tcW w:w="716" w:type="dxa"/>
            <w:vMerge w:val="continue"/>
            <w:tcBorders>
              <w:left w:val="single" w:color="000000" w:sz="4" w:space="0"/>
              <w:right w:val="single" w:color="000000" w:sz="4" w:space="0"/>
            </w:tcBorders>
            <w:shd w:val="clear" w:color="auto" w:fill="auto"/>
            <w:vAlign w:val="center"/>
          </w:tcPr>
          <w:p w14:paraId="282D09DF">
            <w:pPr>
              <w:jc w:val="center"/>
              <w:textAlignment w:val="center"/>
              <w:rPr>
                <w:rFonts w:ascii="宋体" w:hAnsi="宋体" w:eastAsia="宋体" w:cs="宋体"/>
                <w:color w:val="auto"/>
                <w:sz w:val="21"/>
                <w:szCs w:val="21"/>
                <w:lang w:eastAsia="zh-CN"/>
              </w:rPr>
            </w:pPr>
          </w:p>
        </w:tc>
      </w:tr>
      <w:tr w14:paraId="4BE69BC7">
        <w:tblPrEx>
          <w:tblCellMar>
            <w:top w:w="0" w:type="dxa"/>
            <w:left w:w="108" w:type="dxa"/>
            <w:bottom w:w="0" w:type="dxa"/>
            <w:right w:w="108" w:type="dxa"/>
          </w:tblCellMar>
        </w:tblPrEx>
        <w:trPr>
          <w:trHeight w:val="670" w:hRule="atLeast"/>
        </w:trPr>
        <w:tc>
          <w:tcPr>
            <w:tcW w:w="936" w:type="dxa"/>
            <w:vMerge w:val="continue"/>
            <w:tcBorders>
              <w:left w:val="single" w:color="000000" w:sz="4" w:space="0"/>
              <w:right w:val="single" w:color="000000" w:sz="4" w:space="0"/>
            </w:tcBorders>
            <w:shd w:val="clear" w:color="auto" w:fill="auto"/>
            <w:vAlign w:val="center"/>
          </w:tcPr>
          <w:p w14:paraId="77997B2A">
            <w:pPr>
              <w:jc w:val="both"/>
              <w:rPr>
                <w:rFonts w:ascii="宋体" w:hAnsi="宋体" w:eastAsia="宋体" w:cs="宋体"/>
                <w:snapToGrid w:val="0"/>
                <w:color w:val="auto"/>
                <w:sz w:val="22"/>
                <w:szCs w:val="22"/>
                <w:lang w:val="en-US" w:eastAsia="en-US" w:bidi="ar-SA"/>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D77B">
            <w:pPr>
              <w:jc w:val="center"/>
              <w:textAlignment w:val="center"/>
              <w:rPr>
                <w:rFonts w:hint="eastAsia" w:ascii="宋体" w:hAnsi="宋体" w:eastAsia="宋体" w:cs="宋体"/>
                <w:b/>
                <w:bCs/>
                <w:color w:val="auto"/>
                <w:sz w:val="21"/>
                <w:szCs w:val="21"/>
                <w:lang w:eastAsia="zh-CN" w:bidi="ar"/>
              </w:rPr>
            </w:pPr>
            <w:r>
              <w:rPr>
                <w:rFonts w:hint="eastAsia" w:ascii="宋体" w:hAnsi="宋体" w:eastAsia="宋体" w:cs="宋体"/>
                <w:color w:val="auto"/>
                <w:sz w:val="21"/>
                <w:szCs w:val="21"/>
                <w:lang w:val="en-US" w:eastAsia="zh-CN" w:bidi="ar"/>
              </w:rPr>
              <w:t>雪茄烟零售点</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808">
            <w:pPr>
              <w:jc w:val="center"/>
              <w:textAlignment w:val="center"/>
              <w:rPr>
                <w:rFonts w:hint="default" w:ascii="宋体" w:hAnsi="宋体" w:eastAsia="宋体" w:cs="宋体"/>
                <w:b/>
                <w:bCs/>
                <w:color w:val="auto"/>
                <w:sz w:val="21"/>
                <w:szCs w:val="21"/>
                <w:lang w:val="en-US" w:eastAsia="zh-CN" w:bidi="ar"/>
              </w:rPr>
            </w:pPr>
            <w:r>
              <w:rPr>
                <w:rFonts w:hint="eastAsia" w:ascii="宋体" w:hAnsi="宋体" w:eastAsia="宋体" w:cs="宋体"/>
                <w:color w:val="auto"/>
                <w:sz w:val="21"/>
                <w:szCs w:val="21"/>
                <w:lang w:val="en-US" w:eastAsia="zh-CN" w:bidi="ar"/>
              </w:rPr>
              <w:t>全县范围内</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D891">
            <w:pPr>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FA47">
            <w:pPr>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F99E">
            <w:pPr>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B5EA">
            <w:pPr>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100</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F975">
            <w:pPr>
              <w:jc w:val="both"/>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1.雪茄烟零售</w:t>
            </w:r>
            <w:bookmarkStart w:id="0" w:name="_GoBack"/>
            <w:bookmarkEnd w:id="0"/>
            <w:r>
              <w:rPr>
                <w:rFonts w:hint="eastAsia" w:ascii="宋体" w:hAnsi="宋体" w:eastAsia="宋体" w:cs="宋体"/>
                <w:color w:val="auto"/>
                <w:sz w:val="21"/>
                <w:szCs w:val="21"/>
                <w:lang w:val="en-US" w:eastAsia="zh-CN" w:bidi="ar"/>
              </w:rPr>
              <w:t>点应当具备独立的经营区域，满足雪茄烟品吸及从事雪茄烟经营的相关设施设备（包含但不限于雪茄保湿房、雪茄保湿柜、雪茄烟保湿盒、雪茄烟保湿袋等用于雪茄储存管理养护的）。</w:t>
            </w:r>
          </w:p>
          <w:p w14:paraId="0BC785D4">
            <w:pPr>
              <w:jc w:val="both"/>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w:t>
            </w:r>
            <w:r>
              <w:rPr>
                <w:rFonts w:hint="default" w:ascii="宋体" w:hAnsi="宋体" w:eastAsia="宋体" w:cs="宋体"/>
                <w:color w:val="auto"/>
                <w:sz w:val="21"/>
                <w:szCs w:val="21"/>
                <w:lang w:val="en-US" w:eastAsia="zh-CN" w:bidi="ar"/>
              </w:rPr>
              <w:t>雪茄烟零售点的规划数及已设置数不与其他许可范围的零售点合并统计，在测量间距时也互不为参照物。</w:t>
            </w:r>
          </w:p>
          <w:p w14:paraId="2D373630">
            <w:pPr>
              <w:jc w:val="both"/>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3.雪茄烟零售点许可范围仅为“雪茄烟本店零售”的持证户，变更许可范围的，应符合相应零售点合理布局的规定。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FF2F">
            <w:pPr>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17</w:t>
            </w:r>
          </w:p>
        </w:tc>
        <w:tc>
          <w:tcPr>
            <w:tcW w:w="716" w:type="dxa"/>
            <w:tcBorders>
              <w:left w:val="single" w:color="000000" w:sz="4" w:space="0"/>
              <w:bottom w:val="single" w:color="auto" w:sz="4" w:space="0"/>
              <w:right w:val="single" w:color="000000" w:sz="4" w:space="0"/>
            </w:tcBorders>
            <w:shd w:val="clear" w:color="auto" w:fill="auto"/>
            <w:vAlign w:val="center"/>
          </w:tcPr>
          <w:p w14:paraId="6CF16F84">
            <w:pPr>
              <w:jc w:val="center"/>
              <w:textAlignment w:val="center"/>
              <w:rPr>
                <w:rFonts w:hint="eastAsia" w:ascii="宋体" w:hAnsi="宋体" w:eastAsia="宋体" w:cs="宋体"/>
                <w:color w:val="auto"/>
                <w:sz w:val="21"/>
                <w:szCs w:val="21"/>
                <w:lang w:val="en-US" w:eastAsia="zh-CN" w:bidi="ar"/>
              </w:rPr>
            </w:pPr>
          </w:p>
        </w:tc>
      </w:tr>
    </w:tbl>
    <w:p w14:paraId="2B30C71B">
      <w:pPr>
        <w:spacing w:before="42" w:line="219" w:lineRule="auto"/>
        <w:ind w:right="-101" w:rightChars="-48"/>
        <w:rPr>
          <w:rFonts w:ascii="宋体" w:hAnsi="宋体" w:eastAsia="宋体" w:cs="宋体"/>
          <w:spacing w:val="-1"/>
          <w:lang w:eastAsia="zh-CN"/>
        </w:rPr>
      </w:pPr>
      <w:r>
        <w:rPr>
          <w:rFonts w:hint="eastAsia" w:ascii="宋体" w:hAnsi="宋体" w:eastAsia="宋体" w:cs="宋体"/>
          <w:spacing w:val="-1"/>
          <w:lang w:eastAsia="zh-CN"/>
        </w:rPr>
        <w:t>备注：1.本公示表的数据根据本县零售点布局规划实行定期评价、动态管理。</w:t>
      </w:r>
    </w:p>
    <w:p w14:paraId="09531FF1">
      <w:pPr>
        <w:spacing w:before="42" w:line="219" w:lineRule="auto"/>
        <w:ind w:firstLine="624" w:firstLineChars="300"/>
        <w:rPr>
          <w:rFonts w:ascii="宋体" w:hAnsi="宋体" w:eastAsia="宋体" w:cs="宋体"/>
          <w:spacing w:val="-1"/>
          <w:lang w:eastAsia="zh-CN"/>
        </w:rPr>
      </w:pPr>
      <w:r>
        <w:rPr>
          <w:rFonts w:hint="eastAsia" w:ascii="宋体" w:hAnsi="宋体" w:eastAsia="宋体" w:cs="宋体"/>
          <w:spacing w:val="-1"/>
          <w:lang w:eastAsia="zh-CN"/>
        </w:rPr>
        <w:t>2.每</w:t>
      </w:r>
      <w:r>
        <w:rPr>
          <w:rFonts w:hint="eastAsia" w:ascii="宋体" w:hAnsi="宋体" w:eastAsia="宋体" w:cs="宋体"/>
          <w:spacing w:val="-1"/>
          <w:lang w:val="en-US" w:eastAsia="zh-CN"/>
        </w:rPr>
        <w:t>季度</w:t>
      </w:r>
      <w:r>
        <w:rPr>
          <w:rFonts w:hint="eastAsia" w:ascii="宋体" w:hAnsi="宋体" w:eastAsia="宋体" w:cs="宋体"/>
          <w:spacing w:val="-1"/>
          <w:lang w:eastAsia="zh-CN"/>
        </w:rPr>
        <w:t>（选项：每季度、每半年）根据经济发展、城乡建设、市场形势等变化情况对本表中的数据进行动态调整，规划数相应进行动态更新，以每</w:t>
      </w:r>
      <w:r>
        <w:rPr>
          <w:rFonts w:hint="eastAsia" w:ascii="宋体" w:hAnsi="宋体" w:eastAsia="宋体" w:cs="宋体"/>
          <w:spacing w:val="-1"/>
          <w:lang w:val="en-US" w:eastAsia="zh-CN"/>
        </w:rPr>
        <w:t>季度</w:t>
      </w:r>
      <w:r>
        <w:rPr>
          <w:rFonts w:hint="eastAsia" w:ascii="宋体" w:hAnsi="宋体" w:eastAsia="宋体" w:cs="宋体"/>
          <w:spacing w:val="-1"/>
          <w:lang w:eastAsia="zh-CN"/>
        </w:rPr>
        <w:t>（选项：每季度、每半年；仅怒江、迪庆地区可以每半年调整一次。）最后一次公示的数据为准。</w:t>
      </w:r>
    </w:p>
    <w:p w14:paraId="44C6C973">
      <w:pPr>
        <w:spacing w:before="42" w:line="219" w:lineRule="auto"/>
        <w:ind w:firstLine="624" w:firstLineChars="300"/>
        <w:rPr>
          <w:rFonts w:ascii="方正小标宋简体" w:hAnsi="Times New Roman" w:eastAsia="方正小标宋简体" w:cs="Times New Roman"/>
          <w:snapToGrid/>
          <w:color w:val="auto"/>
          <w:kern w:val="2"/>
          <w:sz w:val="32"/>
          <w:szCs w:val="32"/>
          <w:lang w:eastAsia="zh-CN"/>
        </w:rPr>
      </w:pPr>
      <w:r>
        <w:rPr>
          <w:rFonts w:hint="eastAsia" w:ascii="宋体" w:hAnsi="宋体" w:eastAsia="宋体" w:cs="宋体"/>
          <w:spacing w:val="-1"/>
          <w:lang w:eastAsia="zh-CN"/>
        </w:rPr>
        <w:t>3.本数据由云南省</w:t>
      </w:r>
      <w:r>
        <w:rPr>
          <w:rFonts w:hint="eastAsia" w:ascii="宋体" w:hAnsi="宋体" w:eastAsia="宋体" w:cs="宋体"/>
          <w:spacing w:val="-1"/>
          <w:lang w:val="en-US" w:eastAsia="zh-CN"/>
        </w:rPr>
        <w:t>沧源佤族自治县</w:t>
      </w:r>
      <w:r>
        <w:rPr>
          <w:rFonts w:hint="eastAsia" w:ascii="宋体" w:hAnsi="宋体" w:eastAsia="宋体" w:cs="宋体"/>
          <w:spacing w:val="-1"/>
          <w:lang w:eastAsia="zh-CN"/>
        </w:rPr>
        <w:t>烟草专卖局负责解释，咨询电话：</w:t>
      </w:r>
      <w:r>
        <w:rPr>
          <w:rFonts w:hint="eastAsia" w:ascii="宋体" w:hAnsi="宋体" w:eastAsia="宋体" w:cs="宋体"/>
          <w:spacing w:val="-1"/>
          <w:lang w:val="en-US" w:eastAsia="zh-CN"/>
        </w:rPr>
        <w:t>0883-7125901</w:t>
      </w:r>
      <w:r>
        <w:rPr>
          <w:rFonts w:hint="eastAsia" w:ascii="宋体" w:hAnsi="宋体" w:eastAsia="宋体" w:cs="宋体"/>
          <w:spacing w:val="-1"/>
          <w:lang w:eastAsia="zh-CN"/>
        </w:rPr>
        <w:t>。</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F49AA7-9EAA-4704-834C-1B1CCAB45B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175237DC-F2E3-4C25-A86B-62C80C87E5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D37BD">
    <w:pPr>
      <w:spacing w:before="1" w:line="177" w:lineRule="auto"/>
      <w:ind w:left="324"/>
      <w:rPr>
        <w:rFonts w:ascii="宋体" w:hAnsi="宋体" w:eastAsia="宋体" w:cs="宋体"/>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Dg2OTM4NzNjNzM1NGU5ZDUwNTI4NGI5NTE4NDAifQ=="/>
  </w:docVars>
  <w:rsids>
    <w:rsidRoot w:val="5F09475F"/>
    <w:rsid w:val="002A5F3F"/>
    <w:rsid w:val="00371A0B"/>
    <w:rsid w:val="005E179D"/>
    <w:rsid w:val="007508F5"/>
    <w:rsid w:val="0078053E"/>
    <w:rsid w:val="009013B3"/>
    <w:rsid w:val="009F06E8"/>
    <w:rsid w:val="00AC11EA"/>
    <w:rsid w:val="00B84916"/>
    <w:rsid w:val="00CD1992"/>
    <w:rsid w:val="00CD26D4"/>
    <w:rsid w:val="00E36BA2"/>
    <w:rsid w:val="00E80624"/>
    <w:rsid w:val="0CE2653D"/>
    <w:rsid w:val="0E0F4D73"/>
    <w:rsid w:val="14EC6633"/>
    <w:rsid w:val="16856C77"/>
    <w:rsid w:val="17EC440E"/>
    <w:rsid w:val="1844406E"/>
    <w:rsid w:val="1E14691B"/>
    <w:rsid w:val="216A72BD"/>
    <w:rsid w:val="224A2A69"/>
    <w:rsid w:val="236151D6"/>
    <w:rsid w:val="238C094D"/>
    <w:rsid w:val="242E3E82"/>
    <w:rsid w:val="286B066A"/>
    <w:rsid w:val="2B236F8D"/>
    <w:rsid w:val="2D9C14FC"/>
    <w:rsid w:val="2F77AD81"/>
    <w:rsid w:val="304177CF"/>
    <w:rsid w:val="33310034"/>
    <w:rsid w:val="344B1184"/>
    <w:rsid w:val="36642EC5"/>
    <w:rsid w:val="37686BDF"/>
    <w:rsid w:val="39C67741"/>
    <w:rsid w:val="3B796745"/>
    <w:rsid w:val="3BAA0AF5"/>
    <w:rsid w:val="3C62127E"/>
    <w:rsid w:val="3CCC7965"/>
    <w:rsid w:val="3DFF98AB"/>
    <w:rsid w:val="3F087F39"/>
    <w:rsid w:val="429A4AF1"/>
    <w:rsid w:val="43063B7D"/>
    <w:rsid w:val="435D3A48"/>
    <w:rsid w:val="46365A3C"/>
    <w:rsid w:val="46391F75"/>
    <w:rsid w:val="4A1B69D2"/>
    <w:rsid w:val="4B944949"/>
    <w:rsid w:val="4D5544B9"/>
    <w:rsid w:val="4DA90293"/>
    <w:rsid w:val="50D300D5"/>
    <w:rsid w:val="511D718F"/>
    <w:rsid w:val="565F34E6"/>
    <w:rsid w:val="5C7AE1C1"/>
    <w:rsid w:val="5CCD54FA"/>
    <w:rsid w:val="5F09475F"/>
    <w:rsid w:val="5FBB2D96"/>
    <w:rsid w:val="604162CA"/>
    <w:rsid w:val="625F2106"/>
    <w:rsid w:val="65392E6E"/>
    <w:rsid w:val="66B15072"/>
    <w:rsid w:val="674C2D2E"/>
    <w:rsid w:val="68D218D6"/>
    <w:rsid w:val="6A763BFB"/>
    <w:rsid w:val="6BE15020"/>
    <w:rsid w:val="6D9849A7"/>
    <w:rsid w:val="6F289318"/>
    <w:rsid w:val="70F47A97"/>
    <w:rsid w:val="76430FB6"/>
    <w:rsid w:val="777F41E0"/>
    <w:rsid w:val="77F326B2"/>
    <w:rsid w:val="78417E93"/>
    <w:rsid w:val="78755AFB"/>
    <w:rsid w:val="7B7CDA60"/>
    <w:rsid w:val="7CE78EDC"/>
    <w:rsid w:val="7CFB3E50"/>
    <w:rsid w:val="7D6E5C98"/>
    <w:rsid w:val="7D9C4C70"/>
    <w:rsid w:val="7FC45635"/>
    <w:rsid w:val="B9FDD763"/>
    <w:rsid w:val="BAECE54F"/>
    <w:rsid w:val="BE261823"/>
    <w:rsid w:val="D8FF78C9"/>
    <w:rsid w:val="FCB32FE1"/>
    <w:rsid w:val="FDC73576"/>
    <w:rsid w:val="FFB3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Table Text"/>
    <w:basedOn w:val="1"/>
    <w:autoRedefine/>
    <w:semiHidden/>
    <w:qFormat/>
    <w:uiPriority w:val="0"/>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页脚 字符"/>
    <w:basedOn w:val="7"/>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565</Characters>
  <Lines>4</Lines>
  <Paragraphs>1</Paragraphs>
  <TotalTime>2</TotalTime>
  <ScaleCrop>false</ScaleCrop>
  <LinksUpToDate>false</LinksUpToDate>
  <CharactersWithSpaces>622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2023-12-13T09:09:00Z</dcterms:created>
  <dc:creator>徐</dc:creator>
  <cp:lastModifiedBy>tgl（良）</cp:lastModifiedBy>
  <cp:lastPrinted>2024-09-04T02:43:00Z</cp:lastPrinted>
  <dcterms:modified xsi:type="dcterms:W3CDTF">2025-01-05T10:19:55Z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F27374911A9843F95EC78A6519B00739_43</vt:lpwstr>
  </property>
  <property fmtid="{D5CDD505-2E9C-101B-9397-08002B2CF9AE}" pid="4" name="KSOTemplateDocerSaveRecord">
    <vt:lpwstr>eyJoZGlkIjoiZWU3ZTU1ZDdkZjRjMmE4MjYwMzYxMzdmZTI5NmViZDciLCJ1c2VySWQiOiIzMTMzODU3MDQifQ==</vt:lpwstr>
  </property>
</Properties>
</file>