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32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31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李海波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帕良村委会三组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1</w:t>
            </w:r>
            <w:r>
              <w:rPr>
                <w:rFonts w:ascii="仿宋_GB2312" w:hAnsi="新宋体" w:eastAsia="仿宋_GB2312"/>
                <w:sz w:val="30"/>
                <w:szCs w:val="30"/>
              </w:rPr>
              <w:t>3759331463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default" w:ascii="仿宋_GB2312" w:hAnsi="新宋体" w:eastAsia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：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关于请求帮助解决帕良村防火巡逻通道的建议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安东山是沧源佤山的名山，坐落在沧源县城的东面，侧面属于帕良村范围，有公益林6000多亩，天然林500多亩，原始森林特别茂盛。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没有公路，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巡山、防火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造成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巡山非常困难，防火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工作也受到一定影响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。假如一旦有火情，车辆、人员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难以到达山上灭火。</w:t>
            </w:r>
          </w:p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：请求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帮助协调项目实施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帕良村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防火巡逻通道3公里，接通永冷村防火巡逻道，方便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巡逻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防火工作。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ind w:firstLine="640" w:firstLineChars="200"/>
              <w:rPr>
                <w:rFonts w:hint="eastAsia" w:ascii="宋体" w:hAnsi="宋体" w:eastAsia="宋体" w:cs="宋体"/>
                <w:bCs/>
                <w:sz w:val="32"/>
                <w:szCs w:val="32"/>
              </w:rPr>
            </w:pPr>
          </w:p>
          <w:p>
            <w:pPr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  <w:p>
            <w:pPr>
              <w:rPr>
                <w:rFonts w:ascii="宋体" w:hAnsi="宋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</w:p>
          <w:p>
            <w:pPr>
              <w:spacing w:line="400" w:lineRule="exact"/>
              <w:ind w:right="1050"/>
              <w:jc w:val="center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  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1920" w:firstLineChars="6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560" w:firstLineChars="8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800" w:firstLineChars="1500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办〔2006〕147号文件通知为准，同时抄送县人大常委会选联工委和县政府督查室各一份。4.编号、分类、审查意见栏内容由选联工委填写。5.2023年1月30日前报大会秘书组。邮箱：cyxrdxlw@163.com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02624057"/>
    <w:rsid w:val="0D27614D"/>
    <w:rsid w:val="154A62FD"/>
    <w:rsid w:val="16380B38"/>
    <w:rsid w:val="1CCB68FD"/>
    <w:rsid w:val="2F1B6098"/>
    <w:rsid w:val="3585467D"/>
    <w:rsid w:val="36183BAB"/>
    <w:rsid w:val="673B7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497</Words>
  <Characters>552</Characters>
  <Lines>0</Lines>
  <Paragraphs>0</Paragraphs>
  <TotalTime>0</TotalTime>
  <ScaleCrop>false</ScaleCrop>
  <LinksUpToDate>false</LinksUpToDate>
  <CharactersWithSpaces>581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2023-01-31T14:02:00Z</dcterms:created>
  <dc:creator>Administrator</dc:creator>
  <cp:lastModifiedBy>曲氺流觞</cp:lastModifiedBy>
  <dcterms:modified xsi:type="dcterms:W3CDTF">2023-04-28T01:01:36Z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5EBB0B0011DE443DB8A8D409EF02CB51</vt:lpwstr>
  </property>
</Properties>
</file>