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EC534C" w:rsidRDefault="0066091C">
      <w:pPr>
        <w:jc w:val="center"/>
        <w:rPr>
          <w:rFonts w:ascii="宋体" w:eastAsia="宋体" w:hAnsi="宋体"/>
          <w:color w:val="000000" w:themeColor="text1"/>
          <w:sz w:val="40"/>
          <w:szCs w:val="40"/>
        </w:rPr>
      </w:pPr>
      <w:proofErr w:type="gramStart"/>
      <w:r>
        <w:rPr>
          <w:rFonts w:ascii="宋体" w:eastAsia="宋体" w:hAnsi="宋体" w:hint="eastAsia"/>
          <w:color w:val="000000" w:themeColor="text1"/>
          <w:sz w:val="40"/>
          <w:szCs w:val="40"/>
        </w:rPr>
        <w:t>糯</w:t>
      </w:r>
      <w:proofErr w:type="gramEnd"/>
      <w:r>
        <w:rPr>
          <w:rFonts w:ascii="宋体" w:eastAsia="宋体" w:hAnsi="宋体" w:hint="eastAsia"/>
          <w:color w:val="000000" w:themeColor="text1"/>
          <w:sz w:val="40"/>
          <w:szCs w:val="40"/>
        </w:rPr>
        <w:t>良乡</w:t>
      </w:r>
      <w:proofErr w:type="gramStart"/>
      <w:r>
        <w:rPr>
          <w:rFonts w:ascii="宋体" w:eastAsia="宋体" w:hAnsi="宋体" w:hint="eastAsia"/>
          <w:color w:val="000000" w:themeColor="text1"/>
          <w:sz w:val="40"/>
          <w:szCs w:val="40"/>
        </w:rPr>
        <w:t>坝尾</w:t>
      </w:r>
      <w:r w:rsidR="008B6CFD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村</w:t>
      </w:r>
      <w:r>
        <w:rPr>
          <w:rFonts w:ascii="宋体" w:eastAsia="宋体" w:hAnsi="宋体" w:hint="eastAsia"/>
          <w:color w:val="000000" w:themeColor="text1"/>
          <w:sz w:val="40"/>
          <w:szCs w:val="40"/>
        </w:rPr>
        <w:t>芒佑</w:t>
      </w:r>
      <w:proofErr w:type="gramEnd"/>
      <w:r w:rsidR="006F31A0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（</w:t>
      </w:r>
      <w:bookmarkStart w:id="0" w:name="_GoBack"/>
      <w:r>
        <w:rPr>
          <w:rFonts w:ascii="宋体" w:eastAsia="宋体" w:hAnsi="宋体" w:hint="eastAsia"/>
          <w:color w:val="000000" w:themeColor="text1"/>
          <w:sz w:val="40"/>
          <w:szCs w:val="40"/>
        </w:rPr>
        <w:t>特色保护美丽宜居型</w:t>
      </w:r>
      <w:bookmarkEnd w:id="0"/>
      <w:r w:rsidR="006F31A0" w:rsidRPr="00EC534C">
        <w:rPr>
          <w:rFonts w:ascii="宋体" w:eastAsia="宋体" w:hAnsi="宋体" w:hint="eastAsia"/>
          <w:color w:val="000000" w:themeColor="text1"/>
          <w:sz w:val="40"/>
          <w:szCs w:val="40"/>
        </w:rPr>
        <w:t>）自然村</w:t>
      </w:r>
      <w:r w:rsidR="006F31A0" w:rsidRPr="00EC534C">
        <w:rPr>
          <w:rFonts w:ascii="宋体" w:eastAsia="宋体" w:hAnsi="宋体" w:hint="eastAsia"/>
          <w:color w:val="000000" w:themeColor="text1"/>
          <w:sz w:val="40"/>
          <w:szCs w:val="40"/>
        </w:rPr>
        <w:cr/>
        <w:t>村庄规划说明书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总则</w:t>
      </w:r>
    </w:p>
    <w:p w:rsidR="00C60DD8" w:rsidRPr="00EC534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政策背景</w:t>
      </w:r>
    </w:p>
    <w:p w:rsidR="00C60DD8" w:rsidRPr="00EC53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糯</w:t>
      </w:r>
      <w:proofErr w:type="gramEnd"/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良乡</w:t>
      </w:r>
      <w:proofErr w:type="gramStart"/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坝尾</w:t>
      </w:r>
      <w:r w:rsidR="008B6C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</w:t>
      </w:r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芒佑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自然村村庄规划。</w:t>
      </w:r>
    </w:p>
    <w:p w:rsidR="00C60DD8" w:rsidRPr="00EC53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该自然村规划经2019年</w:t>
      </w:r>
      <w:r w:rsidR="006E25D3">
        <w:rPr>
          <w:rFonts w:ascii="宋体" w:eastAsia="宋体" w:hAnsi="宋体" w:hint="eastAsia"/>
          <w:color w:val="000000" w:themeColor="text1"/>
          <w:sz w:val="32"/>
          <w:szCs w:val="32"/>
          <w:u w:val="single"/>
        </w:rPr>
        <w:t>4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月</w:t>
      </w:r>
      <w:r w:rsidR="006E25D3">
        <w:rPr>
          <w:rFonts w:ascii="宋体" w:eastAsia="宋体" w:hAnsi="宋体" w:hint="eastAsia"/>
          <w:color w:val="000000" w:themeColor="text1"/>
          <w:sz w:val="32"/>
          <w:szCs w:val="32"/>
          <w:u w:val="single"/>
        </w:rPr>
        <w:t>28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日自然村村民代表会议审议表决通过。</w:t>
      </w:r>
    </w:p>
    <w:p w:rsidR="00C60DD8" w:rsidRPr="00EC534C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规划期限</w:t>
      </w:r>
    </w:p>
    <w:p w:rsidR="00C60DD8" w:rsidRPr="00EC534C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近期：2019—2022年，远期：2022—2035年。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村庄基本情况</w:t>
      </w:r>
    </w:p>
    <w:p w:rsidR="00F14881" w:rsidRPr="00EC534C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自然状况：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属于山区。距离村委会8.00公里,距离镇12.00公里，国土面积4.06平方公里，海拔1400.00米，年平均气温25.00℃，年降水量1300.00毫米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F14881" w:rsidRPr="00EC534C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经济社会状况：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有农户59户，有乡村人口215人，其中农业人口215人，劳动力125人，其中从事第一产业人数105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人。2016年全村经济总收入256.65万元，农民人均纯收入8678.00元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F14881" w:rsidRPr="00EC534C" w:rsidRDefault="00A72D9D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有耕地总面积1105.00亩(其中：田134.00亩，地984.00亩)，人均耕地5.14亩；拥有林地2400.00亩，其中经济林果地1256.00亩，人均经济林果地5.84亩，主要种植核桃茶叶等经济林果</w:t>
      </w:r>
      <w:r w:rsidR="00F14881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C60DD8" w:rsidRPr="00EC534C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产业结构现状：</w:t>
      </w:r>
      <w:proofErr w:type="gramStart"/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坝尾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社会发展程度较低，是一个典型的半山区农业村，主要以发展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水稻、玉米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、牲畜业为主。</w:t>
      </w:r>
    </w:p>
    <w:p w:rsidR="00B47788" w:rsidRPr="00EC53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</w:t>
      </w:r>
      <w:r w:rsidR="00C60DD8"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特色</w:t>
      </w:r>
    </w:p>
    <w:p w:rsidR="00EC0A3E" w:rsidRPr="00EC534C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定位定性</w:t>
      </w:r>
    </w:p>
    <w:p w:rsidR="00F05EF3" w:rsidRPr="00EC53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EC53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开展回乡规划建设新农村，让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农民增收、农业发展、农村稳定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。实现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农业产业化经营、农业新型化、功能多元化及人本化；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发展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农村城镇化及社区化、均等化、农场化；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创新</w:t>
      </w:r>
      <w:r w:rsidRPr="00EC534C">
        <w:rPr>
          <w:rFonts w:ascii="宋体" w:eastAsia="宋体" w:hAnsi="宋体"/>
          <w:color w:val="000000" w:themeColor="text1"/>
          <w:sz w:val="32"/>
          <w:szCs w:val="32"/>
        </w:rPr>
        <w:t>农民新型非农化、职业化。</w:t>
      </w:r>
    </w:p>
    <w:p w:rsidR="00B47788" w:rsidRPr="00EC534C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村庄环境优美、生态和谐依据自身条件将本次规划定位为</w:t>
      </w:r>
      <w:r w:rsidR="00B47788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：</w:t>
      </w:r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特色保护美丽宜居型</w:t>
      </w:r>
      <w:r w:rsidR="00B47788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保护规划</w:t>
      </w:r>
    </w:p>
    <w:p w:rsidR="00877E5B" w:rsidRPr="00EC534C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村庄发展</w:t>
      </w:r>
      <w:r w:rsidR="00A63C75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依托生态文明建设，保护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佤族文化</w:t>
      </w:r>
      <w:r w:rsidR="00A63C75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，保护生态环境、保护绿水青山。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保护生态环境，严格遵守法律法规，保护生态红线，保护基本农田。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保护民族风俗，对村庄山神、水源林、墓地等划定保护区域。</w:t>
      </w:r>
    </w:p>
    <w:p w:rsidR="00B47788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保护历史传承，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进行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保护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与</w:t>
      </w:r>
      <w:r w:rsidR="00B14F84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传承。</w:t>
      </w:r>
    </w:p>
    <w:p w:rsidR="00C60DD8" w:rsidRPr="00EC534C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特色风貌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出</w:t>
      </w:r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坝尾</w:t>
      </w:r>
      <w:proofErr w:type="gramEnd"/>
      <w:r w:rsidR="008B6C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俊秀的自然风光。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出</w:t>
      </w:r>
      <w:r w:rsidR="0066091C">
        <w:rPr>
          <w:rFonts w:ascii="宋体" w:eastAsia="宋体" w:hAnsi="宋体" w:hint="eastAsia"/>
          <w:color w:val="000000" w:themeColor="text1"/>
          <w:sz w:val="32"/>
          <w:szCs w:val="32"/>
        </w:rPr>
        <w:t>坝尾</w:t>
      </w:r>
      <w:proofErr w:type="gramEnd"/>
      <w:r w:rsidR="008B6C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村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独具魅力的景观特色和清新宜人的居住环境。</w:t>
      </w:r>
    </w:p>
    <w:p w:rsidR="00877E5B" w:rsidRPr="00EC534C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EC534C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村庄建设规划</w:t>
      </w:r>
    </w:p>
    <w:p w:rsidR="008B4D81" w:rsidRPr="00EC534C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投资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概况</w:t>
      </w:r>
    </w:p>
    <w:p w:rsidR="00877E5B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项目计划投资金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1532.6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万元，其中：上级补助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1411.8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万元，群众自筹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120.8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B4D81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道路交通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877E5B" w:rsidRPr="00EC534C" w:rsidRDefault="00877E5B" w:rsidP="00877E5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149.75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1#入户路，混凝土硬化，长240m，宽度3m，厚度15cm，面积1050平方米，投资单价150元/平方米，概算投资10.8万元。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2#入户路，混凝土硬化，长480m，宽度3m，厚度15cm，面积1050平方米，投资单价150元/平方米，概算投资12.6万元。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3#入户路，混凝土硬化，长320m，宽度3m，厚度15cm，面积1050平方米，投资单价150元/平方米，概算投资14.4万元。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4#入户路，混凝土硬化，长135m，宽度3m，厚度15cm，面积1050平方米，投资单价150元/平方米，概算投资6.08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5#道路，混凝土硬化，长310m，宽度3.5m，厚度20cm，面积1880平方米，投资单价200元/平方米，概算投资21.7万元。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6#入户路，混凝土硬化，长260m，宽度3m，厚度15cm，面积1050平方米，投资单价150元/平方米，概算投资11.7万元。</w:t>
      </w:r>
    </w:p>
    <w:p w:rsidR="00A72D9D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7#道路，混凝土硬化，长185m，宽度3.5m，厚度20cm，面积1880平方米，投资单价200元/平方米，概算投资12.95万元。</w:t>
      </w:r>
    </w:p>
    <w:p w:rsidR="009C39A8" w:rsidRPr="00EC534C" w:rsidRDefault="00A72D9D" w:rsidP="00A72D9D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/>
          <w:color w:val="000000" w:themeColor="text1"/>
          <w:sz w:val="32"/>
          <w:szCs w:val="32"/>
        </w:rPr>
        <w:t>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#道路，混凝土硬化，长850m，宽度4m，厚度20cm，面积1880平方米，投资单价200元/平方米，概算投资59.5万元。</w:t>
      </w:r>
    </w:p>
    <w:p w:rsidR="009D2AD0" w:rsidRPr="00EC53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供水工程建设</w:t>
      </w:r>
    </w:p>
    <w:p w:rsidR="009D2AD0" w:rsidRPr="00EC534C" w:rsidRDefault="009D2AD0" w:rsidP="00877E5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2.75</w:t>
      </w:r>
      <w:r w:rsidR="004C116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</w:t>
      </w:r>
      <w:r w:rsidR="00B76DA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元</w:t>
      </w:r>
      <w:r w:rsidR="004C116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实施人畜饮水工程1处，新建压力蓄水池150m³，概算投资15万元。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架设100mm供水主管道长3500km，概算投资35万元。</w:t>
      </w:r>
    </w:p>
    <w:p w:rsidR="00877E5B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实施入户支管建设，管长0.6km，概算投资2.75万元。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排水工程及污水处理设施建设</w:t>
      </w:r>
    </w:p>
    <w:p w:rsidR="00B76DAC" w:rsidRPr="00EC534C" w:rsidRDefault="00B76DAC" w:rsidP="00877E5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100.8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全村建设排水沟，全长1800m，设计标准管径300mm，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每25米设置1个检查井，投资单价360元/m（含检查井），概算投资64.8万元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新建排污支管，总计长500m，直径15cm，投资单价120元/m，概算投资6万元</w:t>
      </w:r>
    </w:p>
    <w:p w:rsidR="00877E5B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新建生态氧化池1座，占地面积30平方米，计划投资30万元（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含土地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补偿费）。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消防工程建设</w:t>
      </w:r>
    </w:p>
    <w:p w:rsidR="00B76DAC" w:rsidRPr="00EC534C" w:rsidRDefault="00B76DAC" w:rsidP="00B76DAC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16.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实施建设室外消火栓5个，投资单价3000元/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个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，概算投资1.5万元。</w:t>
      </w:r>
    </w:p>
    <w:p w:rsidR="00B76DAC" w:rsidRPr="00EC534C" w:rsidRDefault="00A72D9D" w:rsidP="00A72D9D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实施消防水池建设工程，建设消防水池1座，水池容量为200m³，概算投资为15万元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公共空间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DC6D41" w:rsidRPr="00EC534C" w:rsidRDefault="00DC6D41" w:rsidP="00DB1085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20.4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1#球场改建项目，位于村庄北部道路北侧面积400㎡，投资单价150元/平方米，概算投资6元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2#球场改建项目，位于村庄中部面积520㎡，投资单价150元/平方米，概算投资7.8元</w:t>
      </w:r>
    </w:p>
    <w:p w:rsidR="00877E5B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停车场，位于村庄东南部硬化面积330㎡，投资单价200元/平方米，概算投资6.6万元</w:t>
      </w:r>
      <w:r w:rsidR="00DC6D41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环卫设施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EE19B1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56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规划建设6个垃圾箱（分类装卸式），投资单价10000元/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个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，估算总投资4万元</w:t>
      </w:r>
    </w:p>
    <w:p w:rsidR="00A72D9D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规划新建4个公厕，投资单价80000元/座，估算总投资16万元</w:t>
      </w:r>
    </w:p>
    <w:p w:rsidR="009D2AD0" w:rsidRPr="00EC534C" w:rsidRDefault="00A72D9D" w:rsidP="00A72D9D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规划改造2个公厕，投资单价40000元/座，估算总投资8万元</w:t>
      </w:r>
      <w:r w:rsidR="008025DA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亮化工程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EE19B1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63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EE19B1" w:rsidRPr="00EC534C" w:rsidRDefault="00877E5B" w:rsidP="00EE19B1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自然村规划安装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105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盏太阳能路灯，投资单价6000元/盏，概算总投资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63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D2AD0" w:rsidRPr="00EC534C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民居建设</w:t>
      </w:r>
    </w:p>
    <w:p w:rsidR="00AC2736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147.5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77E5B" w:rsidRPr="00EC534C" w:rsidRDefault="00A72D9D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实施59户民居房屋外包装，突出佤族风格和文化元素，投资单价25000元/户，概算总投资147.5万元；</w:t>
      </w:r>
      <w:r w:rsidR="00877E5B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产业发展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877E5B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总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投资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8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60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877E5B" w:rsidRPr="00EC534C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1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种植。实施</w:t>
      </w:r>
      <w:r w:rsidR="00A72D9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水稻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种植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500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亩，</w:t>
      </w:r>
      <w:r w:rsidR="001A083B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玉米及坚果套种种植1</w:t>
      </w:r>
      <w:r w:rsidR="001A083B" w:rsidRPr="00EC534C">
        <w:rPr>
          <w:rFonts w:ascii="宋体" w:eastAsia="宋体" w:hAnsi="宋体"/>
          <w:color w:val="000000" w:themeColor="text1"/>
          <w:sz w:val="32"/>
          <w:szCs w:val="32"/>
        </w:rPr>
        <w:t>200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亩，</w:t>
      </w:r>
      <w:r w:rsidR="001A083B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茶叶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种植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15</w:t>
      </w:r>
      <w:r w:rsidR="00770F3E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00亩</w:t>
      </w:r>
      <w:r w:rsidR="00DC6D41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累计投资概算</w:t>
      </w:r>
      <w:r w:rsidR="001A083B" w:rsidRPr="00EC534C">
        <w:rPr>
          <w:rFonts w:ascii="宋体" w:eastAsia="宋体" w:hAnsi="宋体"/>
          <w:color w:val="000000" w:themeColor="text1"/>
          <w:sz w:val="32"/>
          <w:szCs w:val="32"/>
        </w:rPr>
        <w:t>410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E87277" w:rsidRPr="00EC534C" w:rsidRDefault="00E87277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2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）产业设施。建设产业路</w:t>
      </w:r>
      <w:r w:rsidR="00BA737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5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公里，累计投资概算</w:t>
      </w:r>
      <w:r w:rsidR="00A72D9D" w:rsidRPr="00EC534C">
        <w:rPr>
          <w:rFonts w:ascii="宋体" w:eastAsia="宋体" w:hAnsi="宋体"/>
          <w:color w:val="000000" w:themeColor="text1"/>
          <w:sz w:val="32"/>
          <w:szCs w:val="32"/>
        </w:rPr>
        <w:t>450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绿化美化</w:t>
      </w:r>
      <w:r w:rsidR="009D2AD0"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AC2736" w:rsidRPr="00EC534C" w:rsidRDefault="00877E5B" w:rsidP="00AC2736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概算投资</w:t>
      </w:r>
      <w:r w:rsidR="001A083B" w:rsidRPr="00EC534C">
        <w:rPr>
          <w:rFonts w:ascii="宋体" w:eastAsia="宋体" w:hAnsi="宋体"/>
          <w:color w:val="000000" w:themeColor="text1"/>
          <w:sz w:val="32"/>
          <w:szCs w:val="32"/>
        </w:rPr>
        <w:t>65.9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="00AC2736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1A083B" w:rsidRPr="00EC534C" w:rsidRDefault="001A083B" w:rsidP="001A083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实施进村入户主干道绿化工程，以三角梅及本地树种交叉间种方式实施绿化，共需种植600棵，补助1000元/棵，概算投资40万元</w:t>
      </w:r>
    </w:p>
    <w:p w:rsidR="009D2AD0" w:rsidRPr="00EC534C" w:rsidRDefault="001A083B" w:rsidP="001A083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实施庭院绿化美化工程，每户农户5棵，累计种植295棵，成活1棵补助180元，概算投资5.9万元</w:t>
      </w:r>
      <w:r w:rsidR="00954C4C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EC534C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用地规划</w:t>
      </w:r>
    </w:p>
    <w:p w:rsidR="00954C4C" w:rsidRPr="00EC534C" w:rsidRDefault="00954C4C" w:rsidP="00954C4C">
      <w:pPr>
        <w:pStyle w:val="a3"/>
        <w:ind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划定村庄建设边界，规划村庄集中建设区无预留发展用地。</w:t>
      </w:r>
    </w:p>
    <w:p w:rsidR="00B47788" w:rsidRPr="00EC53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规划管理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（五）在自然村振兴理事会成员中，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明确庄规划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EC534C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规划图件</w:t>
      </w:r>
    </w:p>
    <w:p w:rsidR="00B47788" w:rsidRPr="00EC534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（一）自然村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域规划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图（见附件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B47788" w:rsidRPr="00EC534C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（二）村庄建设规划图（见附件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2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7274ED" w:rsidRPr="00EC534C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6F31A0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三）规划建设项目表（见附件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3</w:t>
      </w:r>
      <w:r w:rsidR="006F31A0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7274ED" w:rsidRPr="00EC534C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自然村村规民约（见附件</w:t>
      </w:r>
      <w:r w:rsidR="007A24FD"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4</w:t>
      </w: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B47788" w:rsidRPr="00EC534C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b/>
          <w:color w:val="000000" w:themeColor="text1"/>
          <w:sz w:val="32"/>
          <w:szCs w:val="32"/>
        </w:rPr>
        <w:t>规划小组名单</w:t>
      </w:r>
    </w:p>
    <w:p w:rsidR="0030763F" w:rsidRPr="00EC534C" w:rsidRDefault="0030763F" w:rsidP="0030763F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组长：田永昌</w:t>
      </w:r>
    </w:p>
    <w:p w:rsidR="0030763F" w:rsidRPr="00EC534C" w:rsidRDefault="0030763F" w:rsidP="0030763F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color w:val="000000" w:themeColor="text1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副组长：赵佩、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赵艾方</w:t>
      </w:r>
      <w:proofErr w:type="gramEnd"/>
    </w:p>
    <w:p w:rsidR="00EC0A3E" w:rsidRPr="00EC534C" w:rsidRDefault="0030763F" w:rsidP="0030763F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成员：</w:t>
      </w:r>
      <w:proofErr w:type="gramStart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田利明</w:t>
      </w:r>
      <w:proofErr w:type="gramEnd"/>
      <w:r w:rsidRPr="00EC534C">
        <w:rPr>
          <w:rFonts w:ascii="宋体" w:eastAsia="宋体" w:hAnsi="宋体" w:hint="eastAsia"/>
          <w:color w:val="000000" w:themeColor="text1"/>
          <w:sz w:val="32"/>
          <w:szCs w:val="32"/>
        </w:rPr>
        <w:t>、田秀萍、赵金芳、赵志梅、赵萍花、杨光峣、赵国军、赵创、田军、田新忠、赵光学、赵金明、李新明、田立新。</w:t>
      </w:r>
    </w:p>
    <w:p w:rsidR="00EC0A3E" w:rsidRPr="00EC534C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color w:val="000000" w:themeColor="text1"/>
          <w:sz w:val="32"/>
          <w:szCs w:val="32"/>
        </w:rPr>
      </w:pPr>
    </w:p>
    <w:sectPr w:rsidR="00EC0A3E" w:rsidRPr="00EC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6D" w:rsidRDefault="0062286D" w:rsidP="00EF640A">
      <w:r>
        <w:separator/>
      </w:r>
    </w:p>
  </w:endnote>
  <w:endnote w:type="continuationSeparator" w:id="0">
    <w:p w:rsidR="0062286D" w:rsidRDefault="0062286D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6D" w:rsidRDefault="0062286D" w:rsidP="00EF640A">
      <w:r>
        <w:separator/>
      </w:r>
    </w:p>
  </w:footnote>
  <w:footnote w:type="continuationSeparator" w:id="0">
    <w:p w:rsidR="0062286D" w:rsidRDefault="0062286D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A083B"/>
    <w:rsid w:val="001D461B"/>
    <w:rsid w:val="00200FB0"/>
    <w:rsid w:val="00206F80"/>
    <w:rsid w:val="002A1886"/>
    <w:rsid w:val="002B0585"/>
    <w:rsid w:val="002B3C6F"/>
    <w:rsid w:val="002C109B"/>
    <w:rsid w:val="0030763F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286D"/>
    <w:rsid w:val="0062581B"/>
    <w:rsid w:val="00636C49"/>
    <w:rsid w:val="006432EF"/>
    <w:rsid w:val="0066091C"/>
    <w:rsid w:val="006E25D3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72D9D"/>
    <w:rsid w:val="00AC2736"/>
    <w:rsid w:val="00B14F84"/>
    <w:rsid w:val="00B2344B"/>
    <w:rsid w:val="00B43A1A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C534C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534</Words>
  <Characters>3048</Characters>
  <Application>Microsoft Office Word</Application>
  <DocSecurity>0</DocSecurity>
  <Lines>25</Lines>
  <Paragraphs>7</Paragraphs>
  <ScaleCrop>false</ScaleCrop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57</cp:revision>
  <dcterms:created xsi:type="dcterms:W3CDTF">2019-03-09T09:09:00Z</dcterms:created>
  <dcterms:modified xsi:type="dcterms:W3CDTF">2019-05-19T09:32:00Z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