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关于进一步推动残疾人就业的提案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县残联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田宣宏13988319880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县人力资源社会保障局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hAnsi="仿宋_GB2312" w:eastAsia="仿宋_GB2312" w:cs="仿宋_GB2312"/>
                      <w:kern w:val="10"/>
                      <w:sz w:val="28"/>
                      <w:szCs w:val="28"/>
                      <w:lang w:eastAsia="zh-CN"/>
                    </w:rPr>
                    <w:t>县</w:t>
                  </w:r>
                  <w:r>
                    <w:rPr>
                      <w:rFonts w:hint="eastAsia" w:ascii="仿宋_GB2312" w:hAnsi="宋体" w:eastAsia="仿宋_GB2312"/>
                      <w:b w:val="0"/>
                      <w:bCs/>
                      <w:color w:val="000000"/>
                      <w:sz w:val="28"/>
                      <w:szCs w:val="28"/>
                      <w:lang w:eastAsia="zh-CN"/>
                    </w:rPr>
                    <w:t>财政局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2" w:name="_GoBack"/>
                  <w:bookmarkEnd w:id="2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我县认真贯彻落实习近平总书记关于“残疾人是一个特殊困难的群体，需要格外关心、格外关注”指示要求，充分弘扬人道主义精神，不断完善残疾人社会保障制度和关爱服务体系，促进残疾人事业全面发展，支持和鼓励残疾人自强不息，为增进残疾人的安全感、获得感、幸福感奠定了坚实的基础。但是，我县在残疾人就业方面依然存在以下几个方面的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（一）残疾人群体的弱势状态愈发突出。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随着全社会经济的发展，产业结构调整和城镇化发展促使就业形势逐步发生了新的变化，很多就业岗位已经从原来的劳动密集型向技术专业型转变，整个社会面上失业人员、下岗职工、农村剩余劳动力也不可避免地交汇，劳动力供大于求的矛盾日益突出。在强烈的就业竞争环境中，与正常的剩余劳动力相比，在肢体、言语、听力、心理、精神等方面本就有缺陷的残疾人想要“出类拔萃”的自主寻找到机会实现就业，更会显得“难上加难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（二）残疾人在就业过程中还存在不同程度的歧视。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日常的工作当中，残疾人常常因为自身能力不足或者是身体缺陷的原因，无法完成单位（企业）交办的一些工作，产生的工作效率也没有正常人的高；多数单位会认为安置残疾人是增加运营成本而非实现利益最大化。所以在实行“用人自主权”和“优化劳动组合”时，会不同程度出现歧视、排斥、辞退和拒收残疾人现象，不履行应承担的社会责任。据统计，税务系统登记的应履行按比例安排残疾人就业义务的用人单位有1020个，达到1.5%以上的单位有84个，未达到比例但是足额缴纳残保金单位数有74个，符合政策规定的免征或缓征残保金单位842个，未安置残疾人也未缴纳残保金单位还有20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（三）残疾人综合素质较低严重制约该群体普遍就业困难。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身体、生理的特殊性，残疾人群体普遍受教育程度较低，掌握的技能技术也不高，对于现代化就业岗位的任职条件难以满足，残疾人本身也难以适应高节奏、现代化的工作岗位。为了高效推动工作、实现效益最大化，部分用人单位在同等条件下，多数会优先选择正常人入职。同时由于身体缺陷的不足，残疾人群体在选择就业时，观望、等靠要的思想比较突出，个人主观就业愿望的低落也造成该群体就业难度加大。据统计，残疾人办证系统登记各类残疾人数5995人，其中初中学历1072人、中专89人、高中学历129人、大学以上学历129人，四类学历残疾人占23.67%，大学以上学历仅占2.15%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（一）进一步健全残疾人就业保障机制，夯实残疾人就业创业保障基础。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认真贯彻落实《云南省“十四五”助残就业“十百千万工程”实施方案》《临沧市“十四五”残疾人保障和发展规划》，多部门结合实际联合制定出台县级“十四五”助残就业扶持行动规范性文件，明确县级在残疾人就业创业方面的规划方向，细化具体工作措施，为促进全县残疾人就业、巩固拓展脱贫攻坚成果、促进残疾人民生改善，奠定机制保障基础。围绕乡村振兴战略，以巩固拓展脱贫攻坚成果为主题，以残疾人群众增收为主线，因地制宜、分类施策，推动产业就业发展格局，精准制定残疾人增收计划，实现残疾人收入持续增长，牢牢守住不发生规模性返贫底线，为全面推进乡村振兴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（二）进一步探索残疾大学生就业保障模式，不断提高残疾大学生的就业率。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结合机关企（事）业单位实际，在招工（公务员、事业单位）考试中按比例设置适合残疾人就业的特定岗位，定向招考应（往）届残疾大学毕业生，通过机制管理提高残疾大学毕业生的就业率。结合实际，在县级各机关、事业单位，乡镇等适当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开发更多适合残疾人的公益岗位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，针对性安置残疾人就业，提高残疾人就业率，实现残疾人增收。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（三）进一步加大残疾人就业培训力度，增强残疾人就业创业竞争实力。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认真贯彻落实省委、市委关于巩固拓展脱贫攻坚成果同乡村振兴有效衔接的部署要求，围绕“产业兴旺、生态宜居、乡风文明、治理有效、生活富裕”总要求，全面推进农业现代化、农村城镇化、农民职业化，大力实施好农村居民脱贫人口持续增收三年行动计划，要想尽一切办法增加农民（特别是农村残疾人）的收入，让老百姓过上更好的日子。鼓励带动广大农村残疾人积极发展以“增收快、周期短、效率高”为主的农业经济，主动参与到农村一二三产业发展大军中，在为实现全县产业增值奋斗的同时，也能享受到产业增值带来的良好收益。融合乡村振兴、农业农村、残联、妇联等部门资源，以加强职业技能培训和巩固就业为抓手，突出实作实训和就业服务，进一步加强农业实用技术、技能提升等就业创业培训，确保残疾人就业率大幅提升，打牢残疾人群众增收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（四）进一步规范残疾人就业保障金的使用，切实保障残疾人就业创业。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国家发展改革委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等六部委《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关于印发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&lt;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关于完善残疾人就业保障金制度更好促进残疾人就业的总体方案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》（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发改价格规〔2019〕2015号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）文件精神，明确规定“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残保金优先用于支持残疾人就业，满足相关的培训教育、奖励补贴、就业服务等支出。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”可结合实际，在残保金支出预算上增加额度用于残疾人培训、教育、创业等方面的支出，尤其是在残疾人就业扶贫（2081105科目）的支出，鼓励支持残疾人提高劳动技能，确保残保金使用效率发挥最优化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5C2023A"/>
    <w:rsid w:val="076965B7"/>
    <w:rsid w:val="0A7A2769"/>
    <w:rsid w:val="0B160942"/>
    <w:rsid w:val="0D0F4610"/>
    <w:rsid w:val="0DA371F4"/>
    <w:rsid w:val="0E8057DD"/>
    <w:rsid w:val="0F7059B4"/>
    <w:rsid w:val="1008631B"/>
    <w:rsid w:val="10ED2F8B"/>
    <w:rsid w:val="140204C6"/>
    <w:rsid w:val="14310B0D"/>
    <w:rsid w:val="14C6258B"/>
    <w:rsid w:val="15694192"/>
    <w:rsid w:val="15AD5E66"/>
    <w:rsid w:val="16E447DB"/>
    <w:rsid w:val="19130A64"/>
    <w:rsid w:val="19D2242E"/>
    <w:rsid w:val="1A084E49"/>
    <w:rsid w:val="1A647454"/>
    <w:rsid w:val="1C8F3EBA"/>
    <w:rsid w:val="1DD76BF4"/>
    <w:rsid w:val="1EB9265F"/>
    <w:rsid w:val="23C31695"/>
    <w:rsid w:val="25EB5FF3"/>
    <w:rsid w:val="2A0216DA"/>
    <w:rsid w:val="2E501915"/>
    <w:rsid w:val="30ED5793"/>
    <w:rsid w:val="32240BD7"/>
    <w:rsid w:val="33D45A51"/>
    <w:rsid w:val="340348D5"/>
    <w:rsid w:val="34243CCA"/>
    <w:rsid w:val="34463354"/>
    <w:rsid w:val="396F6689"/>
    <w:rsid w:val="39BF08FB"/>
    <w:rsid w:val="3AC97575"/>
    <w:rsid w:val="3B0E60A2"/>
    <w:rsid w:val="3B9E5DC2"/>
    <w:rsid w:val="3BD13DC1"/>
    <w:rsid w:val="3CF04625"/>
    <w:rsid w:val="3D0A0D20"/>
    <w:rsid w:val="3E6C5128"/>
    <w:rsid w:val="3E9F29DA"/>
    <w:rsid w:val="42664DBF"/>
    <w:rsid w:val="44BD142A"/>
    <w:rsid w:val="48AA1927"/>
    <w:rsid w:val="4A2F03DC"/>
    <w:rsid w:val="4AF25421"/>
    <w:rsid w:val="4BE7274A"/>
    <w:rsid w:val="4E482C6D"/>
    <w:rsid w:val="4EB26E94"/>
    <w:rsid w:val="4F56346E"/>
    <w:rsid w:val="51EF171A"/>
    <w:rsid w:val="52433AE8"/>
    <w:rsid w:val="53FF105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D04140A"/>
    <w:rsid w:val="5DFF4ECA"/>
    <w:rsid w:val="60916121"/>
    <w:rsid w:val="634E5D5C"/>
    <w:rsid w:val="660E7AF5"/>
    <w:rsid w:val="67375A79"/>
    <w:rsid w:val="67DE27C7"/>
    <w:rsid w:val="68154A26"/>
    <w:rsid w:val="6A7A14B9"/>
    <w:rsid w:val="6B445782"/>
    <w:rsid w:val="6B7229B5"/>
    <w:rsid w:val="6C544521"/>
    <w:rsid w:val="6C9A07F8"/>
    <w:rsid w:val="6F5A4E70"/>
    <w:rsid w:val="6F98396B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2314</Words>
  <Characters>2387</Characters>
  <Lines>0</Lines>
  <Paragraphs>0</Paragraphs>
  <TotalTime>1</TotalTime>
  <ScaleCrop>false</ScaleCrop>
  <LinksUpToDate>false</LinksUpToDate>
  <CharactersWithSpaces>2511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2023-05-06T10:06:10Z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