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pPr w:leftFromText="180" w:rightFromText="180" w:vertAnchor="page" w:horzAnchor="page" w:tblpX="827" w:tblpY="1899"/>
        <w:tblOverlap w:val="never"/>
        <w:tblW w:w="10155" w:type="dxa"/>
        <w:tblCellSpacing w:w="0" w:type="dxa"/>
        <w:tblInd w:w="0" w:type="dxa"/>
        <w:tblLayout w:type="fixed"/>
        <w:tblCellMar>
          <w:top w:w="0" w:type="dxa"/>
          <w:left w:w="0" w:type="dxa"/>
          <w:bottom w:w="0" w:type="dxa"/>
          <w:right w:w="0" w:type="dxa"/>
        </w:tblCellMar>
      </w:tblPr>
      <w:tblGrid>
        <w:gridCol w:w="10155"/>
      </w:tblGrid>
      <w:tr>
        <w:tblPrEx>
          <w:tblCellMar>
            <w:top w:w="0" w:type="dxa"/>
            <w:left w:w="0" w:type="dxa"/>
            <w:bottom w:w="0" w:type="dxa"/>
            <w:right w:w="0" w:type="dxa"/>
          </w:tblCellMar>
        </w:tblPrEx>
        <w:trPr>
          <w:trHeight w:val="5998" w:hRule="atLeast"/>
          <w:tblCellSpacing w:w="0" w:type="dxa"/>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7</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bookmarkStart w:id="0" w:name="OLE_LINK1"/>
            <w:r>
              <w:rPr>
                <w:rFonts w:hint="eastAsia" w:ascii="方正小标宋简体" w:hAnsi="方正小标宋简体" w:eastAsia="方正小标宋简体" w:cs="方正小标宋简体"/>
                <w:b w:val="0"/>
                <w:bCs/>
                <w:color w:val="000000"/>
                <w:sz w:val="44"/>
                <w:szCs w:val="44"/>
                <w:lang w:eastAsia="zh-CN"/>
              </w:rPr>
              <w:t>（合并案）</w:t>
            </w:r>
            <w:bookmarkEnd w:id="0"/>
          </w:p>
          <w:tbl>
            <w:tblPr>
              <w:tblStyle w:val="6"/>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14:textFill>
                        <w14:solidFill>
                          <w14:schemeClr w14:val="tx1"/>
                        </w14:solidFill>
                      </w14:textFill>
                    </w:rPr>
                  </w:pPr>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关于提高县城居民饮用水质量的提案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王敬莹</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default"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default" w:ascii="仿宋_GB2312" w:hAnsi="仿宋_GB2312" w:eastAsia="仿宋_GB2312" w:cs="仿宋_GB2312"/>
                      <w:b w:val="0"/>
                      <w:bCs/>
                      <w:color w:val="000000" w:themeColor="text1"/>
                      <w:kern w:val="0"/>
                      <w:sz w:val="28"/>
                      <w:szCs w:val="28"/>
                      <w:lang w:val="en-US" w:eastAsia="zh-CN"/>
                      <w14:textFill>
                        <w14:solidFill>
                          <w14:schemeClr w14:val="tx1"/>
                        </w14:solidFill>
                      </w14:textFill>
                    </w:rPr>
                    <w:t>县政协社会和法制委员会主任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default" w:ascii="仿宋_GB2312" w:hAnsi="仿宋_GB2312" w:eastAsia="仿宋_GB2312" w:cs="仿宋_GB2312"/>
                      <w:b w:val="0"/>
                      <w:bCs/>
                      <w:color w:val="000000"/>
                      <w:kern w:val="0"/>
                      <w:sz w:val="28"/>
                      <w:szCs w:val="28"/>
                      <w:lang w:val="en-US" w:eastAsia="zh-CN"/>
                    </w:rPr>
                  </w:pPr>
                  <w:r>
                    <w:rPr>
                      <w:rFonts w:hint="default" w:ascii="仿宋_GB2312" w:hAnsi="仿宋_GB2312" w:eastAsia="仿宋_GB2312" w:cs="仿宋_GB2312"/>
                      <w:b w:val="0"/>
                      <w:bCs/>
                      <w:color w:val="000000"/>
                      <w:kern w:val="0"/>
                      <w:sz w:val="28"/>
                      <w:szCs w:val="28"/>
                      <w:lang w:val="en-US" w:eastAsia="zh-CN"/>
                    </w:rPr>
                    <w:t>13988302507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付立群</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14:textFill>
                        <w14:solidFill>
                          <w14:schemeClr w14:val="tx1"/>
                        </w14:solidFill>
                      </w14:textFill>
                    </w:rPr>
                    <w:t>县政协党组成员、秘书长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13988316264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赵国宏</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14:textFill>
                        <w14:solidFill>
                          <w14:schemeClr w14:val="tx1"/>
                        </w14:solidFill>
                      </w14:textFill>
                    </w:rPr>
                    <w:t>县政协民族宗教和港澳台侨外事委员会主任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13987017580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柴  睿</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14:textFill>
                        <w14:solidFill>
                          <w14:schemeClr w14:val="tx1"/>
                        </w14:solidFill>
                      </w14:textFill>
                    </w:rPr>
                    <w:t>县委政法委副书记</w:t>
                  </w:r>
                  <w:r>
                    <w:rPr>
                      <w:rFonts w:hint="eastAsia" w:ascii="仿宋_GB2312" w:hAnsi="仿宋_GB2312" w:eastAsia="仿宋_GB2312" w:cs="仿宋_GB2312"/>
                      <w:b w:val="0"/>
                      <w:bCs/>
                      <w:color w:val="000000" w:themeColor="text1"/>
                      <w:kern w:val="0"/>
                      <w:sz w:val="28"/>
                      <w:szCs w:val="28"/>
                      <w:lang w:eastAsia="zh-CN"/>
                      <w14:textFill>
                        <w14:solidFill>
                          <w14:schemeClr w14:val="tx1"/>
                        </w14:solidFill>
                      </w14:textFill>
                    </w:rPr>
                    <w:t>、</w:t>
                  </w:r>
                  <w:r>
                    <w:rPr>
                      <w:rFonts w:hint="eastAsia" w:ascii="仿宋_GB2312" w:hAnsi="仿宋_GB2312" w:eastAsia="仿宋_GB2312" w:cs="仿宋_GB2312"/>
                      <w:b w:val="0"/>
                      <w:bCs/>
                      <w:color w:val="000000" w:themeColor="text1"/>
                      <w:kern w:val="0"/>
                      <w:sz w:val="28"/>
                      <w:szCs w:val="28"/>
                      <w14:textFill>
                        <w14:solidFill>
                          <w14:schemeClr w14:val="tx1"/>
                        </w14:solidFill>
                      </w14:textFill>
                    </w:rPr>
                    <w:t>思想政治工作办公室主任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13988302130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8"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rightChars="0" w:firstLine="280" w:firstLineChars="100"/>
                    <w:jc w:val="left"/>
                    <w:textAlignment w:val="auto"/>
                    <w:outlineLvl w:val="9"/>
                    <w:rPr>
                      <w:rFonts w:hint="eastAsia" w:ascii="仿宋_GB2312" w:eastAsia="仿宋_GB2312"/>
                      <w:b w:val="0"/>
                      <w:bCs/>
                      <w:color w:val="000000" w:themeColor="text1"/>
                      <w:sz w:val="28"/>
                      <w:szCs w:val="28"/>
                      <w:lang w:val="en-US" w:eastAsia="zh-CN"/>
                      <w14:textFill>
                        <w14:solidFill>
                          <w14:schemeClr w14:val="tx1"/>
                        </w14:solidFill>
                      </w14:textFill>
                    </w:rPr>
                  </w:pPr>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1" w:name="OLE_LINK2"/>
                  <w:r>
                    <w:rPr>
                      <w:rFonts w:hint="eastAsia" w:ascii="仿宋_GB2312" w:eastAsia="仿宋_GB2312"/>
                      <w:b w:val="0"/>
                      <w:bCs/>
                      <w:color w:val="000000" w:themeColor="text1"/>
                      <w:sz w:val="28"/>
                      <w:szCs w:val="28"/>
                      <w:lang w:val="en-US" w:eastAsia="zh-CN"/>
                      <w14:textFill>
                        <w14:solidFill>
                          <w14:schemeClr w14:val="tx1"/>
                        </w14:solidFill>
                      </w14:textFill>
                    </w:rPr>
                    <w:t>县住房城乡建设局</w:t>
                  </w:r>
                  <w:bookmarkEnd w:id="1"/>
                  <w:r>
                    <w:rPr>
                      <w:rFonts w:hint="eastAsia" w:ascii="仿宋_GB2312" w:eastAsia="仿宋_GB2312"/>
                      <w:b w:val="0"/>
                      <w:bCs/>
                      <w:color w:val="000000" w:themeColor="text1"/>
                      <w:sz w:val="28"/>
                      <w:szCs w:val="28"/>
                      <w:lang w:val="en-US" w:eastAsia="zh-CN"/>
                      <w14:textFill>
                        <w14:solidFill>
                          <w14:schemeClr w14:val="tx1"/>
                        </w14:solidFill>
                      </w14:textFill>
                    </w:rPr>
                    <w:t>牵头，</w:t>
                  </w:r>
                  <w:bookmarkStart w:id="2" w:name="OLE_LINK3"/>
                  <w:r>
                    <w:rPr>
                      <w:rFonts w:hint="eastAsia" w:ascii="仿宋_GB2312" w:eastAsia="仿宋_GB2312"/>
                      <w:b w:val="0"/>
                      <w:bCs/>
                      <w:color w:val="000000" w:themeColor="text1"/>
                      <w:sz w:val="28"/>
                      <w:szCs w:val="28"/>
                      <w:lang w:val="en-US" w:eastAsia="zh-CN"/>
                      <w14:textFill>
                        <w14:solidFill>
                          <w14:schemeClr w14:val="tx1"/>
                        </w14:solidFill>
                      </w14:textFill>
                    </w:rPr>
                    <w:t>县水务局、市生态环境局沧源分局、县卫生健康局</w:t>
                  </w:r>
                  <w:bookmarkEnd w:id="2"/>
                  <w:r>
                    <w:rPr>
                      <w:rFonts w:hint="eastAsia" w:ascii="仿宋_GB2312" w:eastAsia="仿宋_GB2312"/>
                      <w:b w:val="0"/>
                      <w:bCs/>
                      <w:color w:val="000000" w:themeColor="text1"/>
                      <w:sz w:val="28"/>
                      <w:szCs w:val="28"/>
                      <w:lang w:val="en-US" w:eastAsia="zh-CN"/>
                      <w14:textFill>
                        <w14:solidFill>
                          <w14:schemeClr w14:val="tx1"/>
                        </w14:solidFill>
                      </w14:textFill>
                    </w:rPr>
                    <w:t>协助，</w:t>
                  </w:r>
                  <w:bookmarkStart w:id="3" w:name="_GoBack"/>
                  <w:bookmarkEnd w:id="3"/>
                  <w:r>
                    <w:rPr>
                      <w:rFonts w:hint="eastAsia" w:ascii="仿宋_GB2312" w:eastAsia="仿宋_GB2312"/>
                      <w:b w:val="0"/>
                      <w:bCs/>
                      <w:color w:val="000000" w:themeColor="text1"/>
                      <w:sz w:val="28"/>
                      <w:szCs w:val="28"/>
                      <w:lang w:val="en-US" w:eastAsia="zh-CN"/>
                      <w14:textFill>
                        <w14:solidFill>
                          <w14:schemeClr w14:val="tx1"/>
                        </w14:solidFill>
                      </w14:textFill>
                    </w:rPr>
                    <w:t>共同研究办理并给予答复。</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rPr>
          <w:rFonts w:hint="eastAsia"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t>水是生命之源，随着经济的发展、社会的进步以及广大人民群众健康意识的提高，居民对生活饮用水的质量要求也越来越高，县城供水质量问题是居民长期关注的“热点”问题，使用华源自来水厂的多数居民反映，自来水里经常出现浑浊的泥沙、各种渣滓和寄生虫，雨季情况更加突出，用水必须经过多次沉淀过滤后才敢使用，一些居民甚至不敢把自来水当做饮用水而改为饮用矿泉水，用水给居民的日常生活带来不便和不安全感。据卫生健康部门对城乡供水有限公司和华源自来水厂饮用水水质监测：市政饮用水水质检测结果分析合格率均低于40%，不合格指标总有大肠菌群、大肠埃希氏菌、菌落总数、浑浊度、二氧化氯，华源自来水厂消毒不规范、投放量不足，甚至不定期消毒。县城供水安全关系到千家万户，饮用水安全问题，直接关系到群众生命健康和社会稳定，切实做好饮用水安全保障工作，是一项重要的民生工程。</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rPr>
          <w:rFonts w:hint="eastAsia"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t xml:space="preserve">为确保市民能吃上更干净更优质更安全的自来水，建议：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3" w:firstLineChars="200"/>
        <w:jc w:val="both"/>
        <w:textAlignment w:val="auto"/>
        <w:rPr>
          <w:rFonts w:hint="eastAsia"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32"/>
          <w:szCs w:val="32"/>
          <w:shd w:val="clear" w:color="auto" w:fill="auto"/>
          <w:lang w:val="en-US" w:eastAsia="zh-CN"/>
          <w14:textFill>
            <w14:solidFill>
              <w14:schemeClr w14:val="tx1"/>
            </w14:solidFill>
          </w14:textFill>
        </w:rPr>
        <w:t>一、</w:t>
      </w:r>
      <w:r>
        <w:rPr>
          <w:rFonts w:hint="eastAsia"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t xml:space="preserve">高度重视，提高对县城供水安全问题的认识。把县城供水安全的认识提高到与食品一样的高度，把改善县城供水质量，确保供水安全作为一项重要的利民惠民工程组织实施好。加大水源林、水源地的保护力度，杜绝各类污染源，从水源地控制水源质量。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3" w:firstLineChars="200"/>
        <w:jc w:val="both"/>
        <w:textAlignment w:val="auto"/>
        <w:rPr>
          <w:rFonts w:hint="eastAsia"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32"/>
          <w:szCs w:val="32"/>
          <w:shd w:val="clear" w:color="auto" w:fill="auto"/>
          <w:lang w:val="en-US" w:eastAsia="zh-CN"/>
          <w14:textFill>
            <w14:solidFill>
              <w14:schemeClr w14:val="tx1"/>
            </w14:solidFill>
          </w14:textFill>
        </w:rPr>
        <w:t>二、</w:t>
      </w:r>
      <w:r>
        <w:rPr>
          <w:rFonts w:hint="eastAsia"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t xml:space="preserve">强化协作，加大监督监管力度。发改、水务、环保、住建、卫健等有关部门要建立工作联动机制，加大监督、监管力度，督促供水厂严格按自来水沉淀、过滤、消毒等要求进行生产，确保市政供水质量和安全，让居民喝上放心水、安全水。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3" w:firstLineChars="200"/>
        <w:jc w:val="both"/>
        <w:textAlignment w:val="auto"/>
        <w:rPr>
          <w:rFonts w:hint="eastAsia"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32"/>
          <w:szCs w:val="32"/>
          <w:shd w:val="clear" w:color="auto" w:fill="auto"/>
          <w:lang w:val="en-US" w:eastAsia="zh-CN"/>
          <w14:textFill>
            <w14:solidFill>
              <w14:schemeClr w14:val="tx1"/>
            </w14:solidFill>
          </w14:textFill>
        </w:rPr>
        <w:t>三、</w:t>
      </w:r>
      <w:r>
        <w:rPr>
          <w:rFonts w:hint="eastAsia"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t xml:space="preserve">强化监管，加大行政执法力度。要通过定期不定期的行政执法检查，倒逼供水企业加大科技投入力度，优化自来水处理设备，规范生产流程，提升供水质量，确保出厂水水质符合《国家生活用水标准》。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t>四、加大投入，改造县城供水管道。针对县城供水二次供水和末梢水合格率低于出厂水合格率较低以及不合格的实际，要积极争取项目资金，改造老旧市政供水管网，有效改善供水二次污染情况，提升供水水质，保障供水安全</w:t>
      </w:r>
      <w:r>
        <w:rPr>
          <w:rFonts w:hint="eastAsia" w:ascii="Times New Roman" w:hAnsi="Times New Roman" w:eastAsia="仿宋_GB2312" w:cs="Times New Roman"/>
          <w:b w:val="0"/>
          <w:bCs w:val="0"/>
          <w:i w:val="0"/>
          <w:caps w:val="0"/>
          <w:color w:val="333333"/>
          <w:spacing w:val="0"/>
          <w:sz w:val="28"/>
          <w:szCs w:val="28"/>
          <w:u w:val="none"/>
          <w:shd w:val="clear" w:color="auto" w:fill="FFFFFF"/>
          <w:lang w:val="en-US" w:eastAsia="zh-CN"/>
        </w:rPr>
        <w:t>。</w:t>
      </w:r>
    </w:p>
    <w:p>
      <w:pPr>
        <w:pStyle w:val="2"/>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pStyle w:val="2"/>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pStyle w:val="2"/>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pStyle w:val="2"/>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pStyle w:val="2"/>
        <w:rPr>
          <w:rFonts w:hint="default"/>
          <w:lang w:val="en-US" w:eastAsia="zh-CN"/>
        </w:rPr>
      </w:pPr>
    </w:p>
    <w:tbl>
      <w:tblPr>
        <w:tblStyle w:val="6"/>
        <w:tblW w:w="10155" w:type="dxa"/>
        <w:jc w:val="center"/>
        <w:tblCellSpacing w:w="0" w:type="dxa"/>
        <w:tblLayout w:type="fixed"/>
        <w:tblCellMar>
          <w:top w:w="0" w:type="dxa"/>
          <w:left w:w="0" w:type="dxa"/>
          <w:bottom w:w="0" w:type="dxa"/>
          <w:right w:w="0" w:type="dxa"/>
        </w:tblCellMar>
      </w:tblPr>
      <w:tblGrid>
        <w:gridCol w:w="10155"/>
      </w:tblGrid>
      <w:tr>
        <w:tblPrEx>
          <w:tblCellMar>
            <w:top w:w="0" w:type="dxa"/>
            <w:left w:w="0" w:type="dxa"/>
            <w:bottom w:w="0" w:type="dxa"/>
            <w:right w:w="0" w:type="dxa"/>
          </w:tblCellMar>
        </w:tblPrEx>
        <w:trPr>
          <w:trHeight w:val="5998" w:hRule="atLeast"/>
          <w:tblCellSpacing w:w="0" w:type="dxa"/>
          <w:jc w:val="center"/>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次会议提案</w:t>
            </w:r>
            <w:r>
              <w:rPr>
                <w:rFonts w:hint="eastAsia" w:ascii="方正小标宋简体" w:hAnsi="方正小标宋简体" w:eastAsia="方正小标宋简体" w:cs="方正小标宋简体"/>
                <w:b w:val="0"/>
                <w:bCs/>
                <w:color w:val="000000"/>
                <w:sz w:val="44"/>
                <w:szCs w:val="44"/>
                <w:lang w:eastAsia="zh-CN"/>
              </w:rPr>
              <w:t>（</w:t>
            </w:r>
            <w:r>
              <w:rPr>
                <w:rFonts w:hint="eastAsia" w:ascii="方正小标宋简体" w:hAnsi="方正小标宋简体" w:eastAsia="方正小标宋简体" w:cs="方正小标宋简体"/>
                <w:b w:val="0"/>
                <w:bCs/>
                <w:color w:val="000000" w:themeColor="text1"/>
                <w:sz w:val="44"/>
                <w:szCs w:val="44"/>
                <w:lang w:eastAsia="zh-CN"/>
                <w14:textFill>
                  <w14:solidFill>
                    <w14:schemeClr w14:val="tx1"/>
                  </w14:solidFill>
                </w14:textFill>
              </w:rPr>
              <w:t>与</w:t>
            </w:r>
            <w:r>
              <w:rPr>
                <w:rFonts w:hint="eastAsia" w:ascii="方正小标宋简体" w:hAnsi="方正小标宋简体" w:eastAsia="方正小标宋简体" w:cs="方正小标宋简体"/>
                <w:b w:val="0"/>
                <w:bCs/>
                <w:color w:val="000000" w:themeColor="text1"/>
                <w:sz w:val="44"/>
                <w:szCs w:val="44"/>
                <w:lang w:val="en-US" w:eastAsia="zh-CN"/>
                <w14:textFill>
                  <w14:solidFill>
                    <w14:schemeClr w14:val="tx1"/>
                  </w14:solidFill>
                </w14:textFill>
              </w:rPr>
              <w:t>7号提案合并</w:t>
            </w:r>
            <w:r>
              <w:rPr>
                <w:rFonts w:hint="eastAsia" w:ascii="方正小标宋简体" w:hAnsi="方正小标宋简体" w:eastAsia="方正小标宋简体" w:cs="方正小标宋简体"/>
                <w:b w:val="0"/>
                <w:bCs/>
                <w:color w:val="000000"/>
                <w:sz w:val="44"/>
                <w:szCs w:val="44"/>
                <w:lang w:eastAsia="zh-CN"/>
              </w:rPr>
              <w:t>）</w:t>
            </w:r>
          </w:p>
          <w:tbl>
            <w:tblPr>
              <w:tblStyle w:val="6"/>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14:textFill>
                        <w14:solidFill>
                          <w14:schemeClr w14:val="tx1"/>
                        </w14:solidFill>
                      </w14:textFill>
                    </w:rPr>
                  </w:pPr>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关于改善木材公司居民饮用水质量的提案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张  诚</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default"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default" w:ascii="仿宋_GB2312" w:hAnsi="仿宋_GB2312" w:eastAsia="仿宋_GB2312" w:cs="仿宋_GB2312"/>
                      <w:b w:val="0"/>
                      <w:bCs/>
                      <w:color w:val="000000" w:themeColor="text1"/>
                      <w:kern w:val="0"/>
                      <w:sz w:val="28"/>
                      <w:szCs w:val="28"/>
                      <w:lang w:val="en-US" w:eastAsia="zh-CN"/>
                      <w14:textFill>
                        <w14:solidFill>
                          <w14:schemeClr w14:val="tx1"/>
                        </w14:solidFill>
                      </w14:textFill>
                    </w:rPr>
                    <w:t>县住房和城乡建设局党组成员、副局长、县人民防空办公室副主任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default" w:ascii="仿宋_GB2312" w:hAnsi="仿宋_GB2312" w:eastAsia="仿宋_GB2312" w:cs="仿宋_GB2312"/>
                      <w:b w:val="0"/>
                      <w:bCs/>
                      <w:color w:val="000000"/>
                      <w:kern w:val="0"/>
                      <w:sz w:val="28"/>
                      <w:szCs w:val="28"/>
                      <w:lang w:val="en-US" w:eastAsia="zh-CN"/>
                    </w:rPr>
                  </w:pPr>
                  <w:r>
                    <w:rPr>
                      <w:rFonts w:hint="eastAsia" w:ascii="仿宋_GB2312" w:hAnsi="仿宋_GB2312" w:eastAsia="仿宋_GB2312" w:cs="仿宋_GB2312"/>
                      <w:b w:val="0"/>
                      <w:bCs/>
                      <w:color w:val="000000"/>
                      <w:kern w:val="0"/>
                      <w:sz w:val="28"/>
                      <w:szCs w:val="28"/>
                    </w:rPr>
                    <w:t>13708831343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4"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1"/>
                    </w:numPr>
                    <w:suppressLineNumbers w:val="0"/>
                    <w:kinsoku/>
                    <w:wordWrap/>
                    <w:overflowPunct/>
                    <w:topLinePunct w:val="0"/>
                    <w:autoSpaceDE/>
                    <w:autoSpaceDN/>
                    <w:bidi w:val="0"/>
                    <w:adjustRightInd/>
                    <w:snapToGrid/>
                    <w:spacing w:before="0" w:beforeAutospacing="0" w:after="0" w:afterAutospacing="0" w:line="0" w:lineRule="atLeas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同意立案交办</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numPr>
                      <w:ilvl w:val="0"/>
                      <w:numId w:val="1"/>
                    </w:numPr>
                    <w:suppressLineNumbers w:val="0"/>
                    <w:kinsoku/>
                    <w:wordWrap/>
                    <w:overflowPunct/>
                    <w:topLinePunct w:val="0"/>
                    <w:autoSpaceDE/>
                    <w:autoSpaceDN/>
                    <w:bidi w:val="0"/>
                    <w:adjustRightInd/>
                    <w:snapToGrid/>
                    <w:spacing w:before="0" w:beforeAutospacing="0" w:after="0" w:afterAutospacing="0" w:line="0" w:lineRule="atLeas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该提案与第7号提案内容相近，建议并案办理答复</w:t>
                  </w:r>
                  <w:r>
                    <w:rPr>
                      <w:rFonts w:hint="eastAsia" w:ascii="仿宋_GB2312" w:hAnsi="仿宋_GB2312" w:eastAsia="仿宋_GB2312" w:cs="仿宋_GB2312"/>
                      <w:color w:val="000000" w:themeColor="text1"/>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eastAsia="仿宋_GB2312"/>
                      <w:b w:val="0"/>
                      <w:bCs/>
                      <w:color w:val="000000" w:themeColor="text1"/>
                      <w:sz w:val="28"/>
                      <w:szCs w:val="28"/>
                      <w:lang w:val="en-US" w:eastAsia="zh-CN"/>
                      <w14:textFill>
                        <w14:solidFill>
                          <w14:schemeClr w14:val="tx1"/>
                        </w14:solidFill>
                      </w14:textFill>
                    </w:rPr>
                    <w:t>鉴于该提案与第7号提案内容相近，请县住房城乡建设局牵头，县水务局、市生态环境局沧源分局、县卫生健康局协助，并案办理答复。</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t>近年来，在县委县政府的正确领导下，我县城乡居民生活发生了翻天覆地的变化，随着县城区不断扩建，饮用水的充足供给和水质保障是不容忽视的环节，也是国家文明城市创建中的重要指标。根据群众反映的情况，县城区永和社区第16号网格木材公司居民区饮用水水质浑浊，经常停水且长期得不到改善。</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t>据了解，该片区现由沧源华源自来水公司负责供水，根据主流制水工艺，一般是自来水厂对水源水进行沉淀、过滤、消毒后，经过管网输送到居民区，而该水厂供应的自来水不符合国家标准。首先，该水厂供应的自来水沉淀时长不足，部分供水时段泥沙、碎屑等肉眼可见的杂物非常明显，疑似为未经处理由水源直供到户；其次，过滤不彻底，供水水质长期浑浊度高，存在细小颗粒物；最后，自来水未进行有效消毒，有害微生物严重超标。供水水质的长期不确定性，严重威胁该片区居民身体健康。</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rPr>
          <w:rFonts w:hint="eastAsia"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t>水是健康的保证，木材公司属国有破产企业，生活区居民多为下岗退休职工，常居30余户家庭以老年人为主，时常发生肠道疾病，饮用水质量的改善迫在眉睫。饮用水安全工程的根本目的是保障老百姓的健康，恳切希望县委县政府能关注该片区群众的饮用水质量问题，让人民群众早日喝上充足稳定供应的健康水。</w:t>
      </w:r>
    </w:p>
    <w:p>
      <w:pPr>
        <w:rPr>
          <w:rFonts w:hint="default"/>
          <w:lang w:val="en-US" w:eastAsia="zh-CN"/>
        </w:rPr>
      </w:pPr>
      <w:r>
        <w:rPr>
          <w:rFonts w:hint="eastAsia"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t>为此建议：</w:t>
      </w:r>
      <w:r>
        <w:rPr>
          <w:rFonts w:hint="eastAsia" w:ascii="仿宋_GB2312" w:hAnsi="仿宋_GB2312" w:eastAsia="仿宋_GB2312" w:cs="仿宋_GB2312"/>
          <w:b/>
          <w:bCs/>
          <w:i w:val="0"/>
          <w:iCs w:val="0"/>
          <w:caps w:val="0"/>
          <w:color w:val="000000" w:themeColor="text1"/>
          <w:spacing w:val="0"/>
          <w:sz w:val="32"/>
          <w:szCs w:val="32"/>
          <w:shd w:val="clear" w:color="auto" w:fill="auto"/>
          <w:lang w:val="en-US" w:eastAsia="zh-CN"/>
          <w14:textFill>
            <w14:solidFill>
              <w14:schemeClr w14:val="tx1"/>
            </w14:solidFill>
          </w14:textFill>
        </w:rPr>
        <w:t>一是</w:t>
      </w:r>
      <w:r>
        <w:rPr>
          <w:rFonts w:hint="eastAsia"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t>建议相关职能部门定期对该居民区饮用水进行水质检测，保证水质的安全。</w:t>
      </w:r>
      <w:r>
        <w:rPr>
          <w:rFonts w:hint="eastAsia" w:ascii="仿宋_GB2312" w:hAnsi="仿宋_GB2312" w:eastAsia="仿宋_GB2312" w:cs="仿宋_GB2312"/>
          <w:b/>
          <w:bCs/>
          <w:i w:val="0"/>
          <w:iCs w:val="0"/>
          <w:caps w:val="0"/>
          <w:color w:val="000000" w:themeColor="text1"/>
          <w:spacing w:val="0"/>
          <w:sz w:val="32"/>
          <w:szCs w:val="32"/>
          <w:shd w:val="clear" w:color="auto" w:fill="auto"/>
          <w:lang w:val="en-US" w:eastAsia="zh-CN"/>
          <w14:textFill>
            <w14:solidFill>
              <w14:schemeClr w14:val="tx1"/>
            </w14:solidFill>
          </w14:textFill>
        </w:rPr>
        <w:t>二是</w:t>
      </w:r>
      <w:r>
        <w:rPr>
          <w:rFonts w:hint="eastAsia"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t>鉴于县城乡供水公司供水主干管网已改造到该居民区外围，建议相关职能部门能积极协调，推进供水水厂更换的工作，保障居民长期的用水安全。</w:t>
      </w:r>
      <w:r>
        <w:rPr>
          <w:rFonts w:hint="eastAsia" w:ascii="仿宋_GB2312" w:hAnsi="仿宋_GB2312" w:eastAsia="仿宋_GB2312" w:cs="仿宋_GB2312"/>
          <w:b/>
          <w:bCs/>
          <w:i w:val="0"/>
          <w:iCs w:val="0"/>
          <w:caps w:val="0"/>
          <w:color w:val="000000" w:themeColor="text1"/>
          <w:spacing w:val="0"/>
          <w:sz w:val="32"/>
          <w:szCs w:val="32"/>
          <w:shd w:val="clear" w:color="auto" w:fill="auto"/>
          <w:lang w:val="en-US" w:eastAsia="zh-CN"/>
          <w14:textFill>
            <w14:solidFill>
              <w14:schemeClr w14:val="tx1"/>
            </w14:solidFill>
          </w14:textFill>
        </w:rPr>
        <w:t>三是</w:t>
      </w:r>
      <w:r>
        <w:rPr>
          <w:rFonts w:hint="eastAsia"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t>相关部门做好片区居民供水管网改造手续办理流程的宣传和改造费用收缴的解释工作。</w:t>
      </w:r>
    </w:p>
    <w:p>
      <w:pPr>
        <w:pStyle w:val="2"/>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pStyle w:val="2"/>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pStyle w:val="2"/>
        <w:rPr>
          <w:rFonts w:hint="eastAsia"/>
          <w:lang w:val="en-US" w:eastAsia="zh-CN"/>
        </w:rPr>
      </w:pPr>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E9A631"/>
    <w:multiLevelType w:val="singleLevel"/>
    <w:tmpl w:val="63E9A63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1E172B7"/>
    <w:rsid w:val="076965B7"/>
    <w:rsid w:val="078D6AF5"/>
    <w:rsid w:val="08955AD0"/>
    <w:rsid w:val="0E8057DD"/>
    <w:rsid w:val="0F624BAD"/>
    <w:rsid w:val="10E462BB"/>
    <w:rsid w:val="15AD5E66"/>
    <w:rsid w:val="17413084"/>
    <w:rsid w:val="1CC91ACD"/>
    <w:rsid w:val="1FC834DC"/>
    <w:rsid w:val="24226B26"/>
    <w:rsid w:val="28565751"/>
    <w:rsid w:val="2A917155"/>
    <w:rsid w:val="2C10789A"/>
    <w:rsid w:val="34463354"/>
    <w:rsid w:val="39502F1C"/>
    <w:rsid w:val="3AC97575"/>
    <w:rsid w:val="3B9E5DC2"/>
    <w:rsid w:val="3BD13DC1"/>
    <w:rsid w:val="3D894E93"/>
    <w:rsid w:val="3E6C5128"/>
    <w:rsid w:val="3F5308E1"/>
    <w:rsid w:val="416911D5"/>
    <w:rsid w:val="42664DBF"/>
    <w:rsid w:val="452810D1"/>
    <w:rsid w:val="463A3632"/>
    <w:rsid w:val="4A342BE0"/>
    <w:rsid w:val="4EB26E94"/>
    <w:rsid w:val="4F56346E"/>
    <w:rsid w:val="50460ACF"/>
    <w:rsid w:val="51EF171A"/>
    <w:rsid w:val="56D32825"/>
    <w:rsid w:val="5AE068C4"/>
    <w:rsid w:val="5C186D42"/>
    <w:rsid w:val="5C823F27"/>
    <w:rsid w:val="5D140C58"/>
    <w:rsid w:val="5D35495B"/>
    <w:rsid w:val="67375A79"/>
    <w:rsid w:val="67DE27C7"/>
    <w:rsid w:val="68154A26"/>
    <w:rsid w:val="68EC4BFD"/>
    <w:rsid w:val="71D2393C"/>
    <w:rsid w:val="75EE4A6C"/>
    <w:rsid w:val="776E1353"/>
    <w:rsid w:val="784D3578"/>
    <w:rsid w:val="7B1E5AE4"/>
    <w:rsid w:val="7FAC0C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3">
    <w:name w:val="heading 3"/>
    <w:basedOn w:val="1"/>
    <w:next w:val="1"/>
    <w:qFormat/>
    <w:uiPriority w:val="0"/>
    <w:pPr>
      <w:keepNext/>
      <w:keepLines/>
      <w:spacing w:before="120" w:after="120" w:line="416" w:lineRule="auto"/>
      <w:outlineLvl w:val="2"/>
    </w:pPr>
    <w:rPr>
      <w:b/>
      <w:bCs/>
      <w:sz w:val="30"/>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2115</Words>
  <Characters>2200</Characters>
  <Lines>0</Lines>
  <Paragraphs>0</Paragraphs>
  <TotalTime>1</TotalTime>
  <ScaleCrop>false</ScaleCrop>
  <LinksUpToDate>false</LinksUpToDate>
  <CharactersWithSpaces>2389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Administrator</cp:lastModifiedBy>
  <dcterms:modified xsi:type="dcterms:W3CDTF">2023-05-08T00:14:50Z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71CA28932C7B418F8D633B1B6AA709DD</vt:lpwstr>
  </property>
</Properties>
</file>